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76ed81cd6d5403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F0ABC" w14:textId="77777777" w:rsidR="005B18F6" w:rsidRPr="005A6EDA" w:rsidRDefault="005B18F6" w:rsidP="0050352D">
      <w:pPr>
        <w:pStyle w:val="MainTitle"/>
        <w:spacing w:before="0" w:after="0" w:line="360" w:lineRule="atLeast"/>
      </w:pPr>
      <w:r>
        <w:t>A Framework for Continuous Assessment of IT Value in Industry 4.0</w:t>
      </w:r>
    </w:p>
    <w:p w14:paraId="041B9D0D" w14:textId="77777777" w:rsidR="005B18F6" w:rsidRDefault="005B18F6" w:rsidP="005B18F6"/>
    <w:p w14:paraId="3264AB87" w14:textId="77777777" w:rsidR="005B18F6" w:rsidRPr="005A6EDA" w:rsidRDefault="005B18F6" w:rsidP="0050352D">
      <w:pPr>
        <w:pStyle w:val="author"/>
        <w:spacing w:before="480"/>
      </w:pPr>
      <w:r w:rsidRPr="000C1FEB">
        <w:t xml:space="preserve">João </w:t>
      </w:r>
      <w:proofErr w:type="spellStart"/>
      <w:r w:rsidRPr="000C1FEB">
        <w:t>Lemos</w:t>
      </w:r>
      <w:proofErr w:type="spellEnd"/>
      <w:r>
        <w:rPr>
          <w:rStyle w:val="a4"/>
        </w:rPr>
        <w:footnoteReference w:id="1"/>
      </w:r>
      <w:r w:rsidRPr="000C1FEB">
        <w:t xml:space="preserve">, Filipe Baptista, and João </w:t>
      </w:r>
      <w:proofErr w:type="spellStart"/>
      <w:r w:rsidRPr="000C1FEB">
        <w:t>Barata</w:t>
      </w:r>
      <w:proofErr w:type="spellEnd"/>
    </w:p>
    <w:p w14:paraId="5B152F89" w14:textId="70B448BC" w:rsidR="005B18F6" w:rsidRPr="004D125A" w:rsidRDefault="005B18F6" w:rsidP="0080187B">
      <w:pPr>
        <w:pStyle w:val="abstract"/>
        <w:spacing w:after="120"/>
      </w:pPr>
      <w:r w:rsidRPr="005B18F6">
        <w:rPr>
          <w:b/>
        </w:rPr>
        <w:t xml:space="preserve">Abstract </w:t>
      </w:r>
      <w:r>
        <w:t xml:space="preserve">Assessment of the value of information technology (IT) is one of the most challenging priorities for modern organizations. The topic has been studied for decades but the continuous nature of digital transformation in industry (DTI) has added a new dimension to the problem. The paper presents a framework to capture IT value over time, supporting industries in (1) monitoring the outcomes of their digital transformation and (2) evaluating the need for new investments. The framework is inspired in the literature of IT value and extended to the dynamic, integrated and boundary spanning logic of Industry 4.0. The difficulty to prove the holistic value of IT investments is an obstacle to the necessary developments in industry. Moreover, similarly to DTI, IT value assessment </w:t>
      </w:r>
      <w:proofErr w:type="spellStart"/>
      <w:r>
        <w:t>ismultidimensional</w:t>
      </w:r>
      <w:proofErr w:type="spellEnd"/>
      <w:r>
        <w:t xml:space="preserve"> and should be the result of an ongoing evaluation supported by evidence.</w:t>
      </w:r>
    </w:p>
    <w:p w14:paraId="56CD7E46" w14:textId="5EBF9156" w:rsidR="005B18F6" w:rsidRDefault="005B18F6" w:rsidP="0050352D">
      <w:pPr>
        <w:pStyle w:val="keyword"/>
        <w:spacing w:before="120" w:after="120"/>
      </w:pPr>
      <w:r w:rsidRPr="005B18F6">
        <w:rPr>
          <w:b/>
        </w:rPr>
        <w:t xml:space="preserve">Keyword </w:t>
      </w:r>
      <w:r w:rsidRPr="004D125A">
        <w:t>IT value · Continuous assessment · Industry 4.0</w:t>
      </w:r>
    </w:p>
    <w:p w14:paraId="763769EE" w14:textId="10E0AEA5" w:rsidR="005B18F6" w:rsidRPr="004D125A" w:rsidRDefault="005B18F6" w:rsidP="0080187B">
      <w:pPr>
        <w:pStyle w:val="keyword"/>
        <w:spacing w:before="120"/>
      </w:pPr>
      <w:proofErr w:type="spellStart"/>
      <w:r w:rsidRPr="005B18F6">
        <w:rPr>
          <w:b/>
        </w:rPr>
        <w:t>JEL</w:t>
      </w:r>
      <w:proofErr w:type="spellEnd"/>
      <w:r w:rsidRPr="005B18F6">
        <w:rPr>
          <w:b/>
        </w:rPr>
        <w:t xml:space="preserve"> Classification:</w:t>
      </w:r>
      <w:r w:rsidRPr="005B18F6">
        <w:t xml:space="preserve"> L1, L2, O3</w:t>
      </w:r>
    </w:p>
    <w:p w14:paraId="247225AA" w14:textId="77777777" w:rsidR="005B18F6" w:rsidRPr="005A6EDA" w:rsidRDefault="005B18F6" w:rsidP="0080187B">
      <w:pPr>
        <w:pStyle w:val="heading1"/>
        <w:spacing w:before="600" w:after="320" w:line="240" w:lineRule="atLeast"/>
      </w:pPr>
      <w:r w:rsidRPr="005A6EDA">
        <w:lastRenderedPageBreak/>
        <w:t>1 Introduction</w:t>
      </w:r>
    </w:p>
    <w:p w14:paraId="374F84FB" w14:textId="61A2AE9D" w:rsidR="007968AF" w:rsidRPr="007968AF" w:rsidRDefault="007968AF" w:rsidP="007968AF">
      <w:pPr>
        <w:pStyle w:val="para"/>
        <w:ind w:firstLine="0"/>
        <w:jc w:val="both"/>
      </w:pPr>
      <w:r w:rsidRPr="007968AF">
        <w:t xml:space="preserve">This paper identifies the mechanism generating </w:t>
      </w:r>
      <w:r w:rsidRPr="007968AF">
        <w:rPr>
          <w:i/>
          <w:iCs/>
        </w:rPr>
        <w:t xml:space="preserve">political budget cycles </w:t>
      </w:r>
      <w:r w:rsidRPr="007968AF">
        <w:t>(</w:t>
      </w:r>
      <w:proofErr w:type="spellStart"/>
      <w:r w:rsidRPr="007968AF">
        <w:t>PBCs</w:t>
      </w:r>
      <w:proofErr w:type="spellEnd"/>
      <w:r w:rsidRPr="007968AF">
        <w:t>), a term used to refer to the jump of budget deficits during election years. This</w:t>
      </w:r>
      <w:r>
        <w:rPr>
          <w:lang w:val="ru-RU"/>
        </w:rPr>
        <w:t>ь</w:t>
      </w:r>
      <w:r w:rsidRPr="007968AF">
        <w:t xml:space="preserve"> phenomenon is generally interpreted as being triggered by the government’s pursuit of re-election, and it is played out when incumbents pursue opportunistic fiscal policies before general elections so as to appear competent and offer voters the illusion of economic prosperity (Rogoff, 1990; Rogoff &amp; Sibert, 1988). Specifically, either because they are facing a myopic electorate with a </w:t>
      </w:r>
      <w:r w:rsidRPr="007968AF">
        <w:rPr>
          <w:i/>
          <w:iCs/>
        </w:rPr>
        <w:t xml:space="preserve">decaying memory </w:t>
      </w:r>
      <w:r w:rsidRPr="007968AF">
        <w:t xml:space="preserve">of past events or taking advantage of </w:t>
      </w:r>
      <w:r w:rsidRPr="007968AF">
        <w:rPr>
          <w:i/>
          <w:iCs/>
        </w:rPr>
        <w:t xml:space="preserve">informational asymmetries </w:t>
      </w:r>
      <w:r w:rsidRPr="007968AF">
        <w:t xml:space="preserve">that exist between them and rational constituents, politicians may choose to </w:t>
      </w:r>
      <w:proofErr w:type="spellStart"/>
      <w:r w:rsidRPr="007968AF">
        <w:t>maximise</w:t>
      </w:r>
      <w:proofErr w:type="spellEnd"/>
      <w:r w:rsidRPr="007968AF">
        <w:t xml:space="preserve"> their own </w:t>
      </w:r>
      <w:r w:rsidRPr="007968AF">
        <w:rPr>
          <w:i/>
          <w:iCs/>
        </w:rPr>
        <w:t>voting</w:t>
      </w:r>
      <w:r w:rsidRPr="007968AF">
        <w:t xml:space="preserve"> </w:t>
      </w:r>
      <w:r w:rsidRPr="007968AF">
        <w:rPr>
          <w:i/>
          <w:iCs/>
        </w:rPr>
        <w:t xml:space="preserve">function </w:t>
      </w:r>
      <w:r w:rsidRPr="007968AF">
        <w:t xml:space="preserve">(Nordhaus, 1975) instead of behaving benevolently by </w:t>
      </w:r>
      <w:proofErr w:type="spellStart"/>
      <w:r w:rsidRPr="007968AF">
        <w:t>maximising</w:t>
      </w:r>
      <w:proofErr w:type="spellEnd"/>
      <w:r w:rsidRPr="007968AF">
        <w:t xml:space="preserve"> a social welfare function as is commonly assumed by traditional macroeconomic theory (Theil, 1956; Tinbergen, 1975).</w:t>
      </w:r>
    </w:p>
    <w:p w14:paraId="4B5C5D59" w14:textId="0668B985" w:rsidR="00B7358A" w:rsidRDefault="007968AF" w:rsidP="007968AF">
      <w:pPr>
        <w:pStyle w:val="para"/>
        <w:jc w:val="both"/>
      </w:pPr>
      <w:r w:rsidRPr="007968AF">
        <w:t xml:space="preserve">There are effectively two possible mechanisms that could generate </w:t>
      </w:r>
      <w:proofErr w:type="spellStart"/>
      <w:r w:rsidRPr="007968AF">
        <w:t>PBCs</w:t>
      </w:r>
      <w:proofErr w:type="spellEnd"/>
      <w:r w:rsidRPr="007968AF">
        <w:t>, either through excessive public spending or via taxation policies aiming at a suboptimal level of tax revenue (</w:t>
      </w:r>
      <w:proofErr w:type="spellStart"/>
      <w:r w:rsidRPr="007968AF">
        <w:t>Alesina</w:t>
      </w:r>
      <w:proofErr w:type="spellEnd"/>
      <w:r w:rsidRPr="007968AF">
        <w:t xml:space="preserve">, 1987, 1988), each with very different social welfare implications. Our paper contributes to the literature by tracing the steps taken in order for </w:t>
      </w:r>
      <w:proofErr w:type="spellStart"/>
      <w:r w:rsidRPr="007968AF">
        <w:t>PBCs</w:t>
      </w:r>
      <w:proofErr w:type="spellEnd"/>
      <w:r w:rsidRPr="007968AF">
        <w:t xml:space="preserve"> to be created. </w:t>
      </w:r>
      <w:proofErr w:type="spellStart"/>
      <w:r w:rsidRPr="007968AF">
        <w:t>PBCs</w:t>
      </w:r>
      <w:proofErr w:type="spellEnd"/>
      <w:r w:rsidRPr="007968AF">
        <w:t xml:space="preserve"> on the revenue side take place mainly in the form of a direct and indirect tax rate reduction, whereas </w:t>
      </w:r>
      <w:proofErr w:type="spellStart"/>
      <w:r w:rsidRPr="007968AF">
        <w:t>PBCs</w:t>
      </w:r>
      <w:proofErr w:type="spellEnd"/>
      <w:r w:rsidRPr="007968AF">
        <w:t xml:space="preserve"> on the expenditure side </w:t>
      </w:r>
      <w:proofErr w:type="spellStart"/>
      <w:r w:rsidRPr="007968AF">
        <w:t>materialise</w:t>
      </w:r>
      <w:proofErr w:type="spellEnd"/>
      <w:r w:rsidRPr="007968AF">
        <w:t xml:space="preserve"> mostly through an increase in transfer payments. Hence, the former tends to be of practical concern to relatively wealthier and, therefore, less </w:t>
      </w:r>
      <w:proofErr w:type="gramStart"/>
      <w:r w:rsidRPr="007968AF">
        <w:t>numerous  potential</w:t>
      </w:r>
      <w:proofErr w:type="gramEnd"/>
      <w:r w:rsidRPr="007968AF">
        <w:t xml:space="preserve"> voters. As a result, we argue that revenue-side </w:t>
      </w:r>
      <w:proofErr w:type="spellStart"/>
      <w:r w:rsidRPr="007968AF">
        <w:t>PBCs</w:t>
      </w:r>
      <w:proofErr w:type="spellEnd"/>
      <w:r w:rsidRPr="007968AF">
        <w:t xml:space="preserve"> seem less likely, and for the additional reason that they require a considerably more significant time lag between the reduction in tax rates and the corresponding reduction in tax revenue and timing is of critical importance in increasing the effectiveness of pre-</w:t>
      </w:r>
      <w:proofErr w:type="spellStart"/>
      <w:r w:rsidRPr="007968AF">
        <w:t>electora</w:t>
      </w:r>
      <w:proofErr w:type="spellEnd"/>
      <w:r w:rsidRPr="007968AF">
        <w:t xml:space="preserve"> fiscal manipulation.</w:t>
      </w:r>
      <w:r w:rsidR="00064F80" w:rsidRPr="00064F80">
        <w:t xml:space="preserve"> </w:t>
      </w:r>
    </w:p>
    <w:p w14:paraId="293BC43D" w14:textId="6F25DD61" w:rsidR="00064F80" w:rsidRDefault="00064F80" w:rsidP="00064F80">
      <w:r w:rsidRPr="00516B0B">
        <w:t>The research assumptions were confirmed on the basis of the achieved results. The ICT sector is developing dynamically in the V4 countries, which is reflected in changes in the level of concentration and in the reduction of inequalities between different size categories of companies in the market. Changes in the economy associated with digitiza</w:t>
      </w:r>
      <w:bookmarkStart w:id="0" w:name="_GoBack"/>
      <w:bookmarkEnd w:id="0"/>
      <w:r w:rsidRPr="00516B0B">
        <w:t>tion and digital transformation, as well as lifestyle changes with the widespread use of electronic devices, play an important role in reducing inequalities in the ICT sector.</w:t>
      </w:r>
    </w:p>
    <w:p w14:paraId="26B406A9" w14:textId="77777777" w:rsidR="0080187B" w:rsidRPr="000C1FEB" w:rsidRDefault="0080187B" w:rsidP="0080187B">
      <w:pPr>
        <w:keepNext/>
        <w:keepLines/>
        <w:tabs>
          <w:tab w:val="left" w:pos="454"/>
        </w:tabs>
        <w:suppressAutoHyphens/>
        <w:spacing w:before="600" w:after="320"/>
        <w:ind w:firstLine="0"/>
        <w:jc w:val="left"/>
        <w:rPr>
          <w:b/>
          <w:sz w:val="24"/>
        </w:rPr>
      </w:pPr>
      <w:r w:rsidRPr="000C1FEB">
        <w:rPr>
          <w:b/>
          <w:sz w:val="24"/>
        </w:rPr>
        <w:t>2 Background</w:t>
      </w:r>
    </w:p>
    <w:p w14:paraId="637050F7" w14:textId="77777777" w:rsidR="0080187B" w:rsidRPr="000C1FEB" w:rsidRDefault="0080187B" w:rsidP="0080187B">
      <w:pPr>
        <w:keepNext/>
        <w:keepLines/>
        <w:tabs>
          <w:tab w:val="left" w:pos="454"/>
          <w:tab w:val="left" w:pos="510"/>
        </w:tabs>
        <w:suppressAutoHyphens/>
        <w:spacing w:after="320"/>
        <w:ind w:firstLine="0"/>
        <w:jc w:val="left"/>
        <w:rPr>
          <w:b/>
          <w:i/>
          <w:sz w:val="24"/>
        </w:rPr>
      </w:pPr>
      <w:r w:rsidRPr="000C1FEB">
        <w:rPr>
          <w:b/>
          <w:i/>
          <w:sz w:val="24"/>
        </w:rPr>
        <w:t>2.1 Industry 4.0</w:t>
      </w:r>
    </w:p>
    <w:p w14:paraId="66DF102F" w14:textId="77777777" w:rsidR="0080187B" w:rsidRDefault="0080187B" w:rsidP="0080187B">
      <w:pPr>
        <w:ind w:firstLine="0"/>
      </w:pPr>
      <w:r w:rsidRPr="000C1FEB">
        <w:t>Digital transformation in industry (DTI) is now a top priority for different zones</w:t>
      </w:r>
      <w:r>
        <w:t xml:space="preserve"> </w:t>
      </w:r>
      <w:r w:rsidRPr="000C1FEB">
        <w:t>of the globe [10, 22, 52]. It can be defined as the development of smart factories that provide smart services and smart products to satisfy the needs of each client [50]. Characterized by the extensive use of advanced resources of information and</w:t>
      </w:r>
      <w:r>
        <w:t xml:space="preserve"> </w:t>
      </w:r>
      <w:r w:rsidRPr="000C1FEB">
        <w:lastRenderedPageBreak/>
        <w:t>communication technologies, Industry 4.0 is also a social transformation process with major impacts in work practices [27].</w:t>
      </w:r>
    </w:p>
    <w:p w14:paraId="1B49CF59" w14:textId="77777777" w:rsidR="0080187B" w:rsidRPr="00516B0B" w:rsidRDefault="0080187B" w:rsidP="0080187B">
      <w:pPr>
        <w:pStyle w:val="acknowledgements"/>
        <w:spacing w:before="600" w:after="320" w:line="240" w:lineRule="auto"/>
        <w:jc w:val="both"/>
      </w:pPr>
      <w:r w:rsidRPr="00064F80">
        <w:rPr>
          <w:bCs/>
          <w:sz w:val="22"/>
          <w:szCs w:val="18"/>
        </w:rPr>
        <w:t>Acknowledgements</w:t>
      </w:r>
      <w:r>
        <w:rPr>
          <w:bCs/>
        </w:rPr>
        <w:t xml:space="preserve"> </w:t>
      </w:r>
      <w:bookmarkStart w:id="1" w:name="MSADD"/>
      <w:r w:rsidRPr="00064F80">
        <w:rPr>
          <w:b w:val="0"/>
          <w:sz w:val="17"/>
        </w:rPr>
        <w:t>This contribution was undertaken as a part of the research project 1/0152/18 VEGA Business models and platforms in the digital environment.</w:t>
      </w:r>
      <w:bookmarkEnd w:id="1"/>
    </w:p>
    <w:p w14:paraId="5B70ACAD" w14:textId="77777777" w:rsidR="007968AF" w:rsidRPr="007968AF" w:rsidRDefault="007968AF" w:rsidP="0080187B">
      <w:pPr>
        <w:pStyle w:val="references"/>
        <w:spacing w:before="600" w:after="320"/>
        <w:rPr>
          <w:lang w:eastAsia="en-IN"/>
        </w:rPr>
      </w:pPr>
      <w:r w:rsidRPr="007968AF">
        <w:rPr>
          <w:lang w:eastAsia="en-IN"/>
        </w:rPr>
        <w:t>References</w:t>
      </w:r>
    </w:p>
    <w:p w14:paraId="395F0784" w14:textId="3F68786E" w:rsidR="007968AF" w:rsidRPr="007968AF" w:rsidRDefault="007968AF" w:rsidP="007968AF">
      <w:pPr>
        <w:pStyle w:val="reference"/>
        <w:rPr>
          <w:color w:val="0000FF"/>
          <w:lang w:eastAsia="en-IN"/>
        </w:rPr>
      </w:pPr>
      <w:r w:rsidRPr="007968AF">
        <w:rPr>
          <w:lang w:eastAsia="en-IN"/>
        </w:rPr>
        <w:t>Aghion, P., Bloom, N., Blundell, R., Griffith, R., &amp; Howitt, P. (2005). Competition and innovation:</w:t>
      </w:r>
      <w:r w:rsidRPr="007968AF">
        <w:rPr>
          <w:rFonts w:asciiTheme="minorHAnsi" w:hAnsiTheme="minorHAnsi"/>
          <w:lang w:eastAsia="en-IN"/>
        </w:rPr>
        <w:t xml:space="preserve"> </w:t>
      </w:r>
      <w:r w:rsidRPr="007968AF">
        <w:rPr>
          <w:lang w:eastAsia="en-IN"/>
        </w:rPr>
        <w:t xml:space="preserve">An inverted-U relationship. </w:t>
      </w:r>
      <w:r w:rsidRPr="007968AF">
        <w:rPr>
          <w:rFonts w:ascii="Times-Italic" w:hAnsi="Times-Italic" w:cs="Times-Italic"/>
          <w:i/>
          <w:iCs/>
          <w:lang w:eastAsia="en-IN"/>
        </w:rPr>
        <w:t>The Quarterly Journal of Economics, 120</w:t>
      </w:r>
      <w:r w:rsidRPr="007968AF">
        <w:rPr>
          <w:lang w:eastAsia="en-IN"/>
        </w:rPr>
        <w:t xml:space="preserve">(2), 701–728. </w:t>
      </w:r>
      <w:r w:rsidRPr="007968AF">
        <w:rPr>
          <w:color w:val="0000FF"/>
          <w:lang w:eastAsia="en-IN"/>
        </w:rPr>
        <w:t>https://doi.org/10.3386/w9269</w:t>
      </w:r>
    </w:p>
    <w:p w14:paraId="374C409B" w14:textId="3FBF5247" w:rsidR="007968AF" w:rsidRPr="007968AF" w:rsidRDefault="007968AF" w:rsidP="007968AF">
      <w:pPr>
        <w:pStyle w:val="reference"/>
        <w:rPr>
          <w:color w:val="0000FF"/>
          <w:lang w:eastAsia="en-IN"/>
        </w:rPr>
      </w:pPr>
      <w:proofErr w:type="spellStart"/>
      <w:r w:rsidRPr="007968AF">
        <w:rPr>
          <w:lang w:eastAsia="en-IN"/>
        </w:rPr>
        <w:t>Audretsch</w:t>
      </w:r>
      <w:proofErr w:type="spellEnd"/>
      <w:r w:rsidRPr="007968AF">
        <w:rPr>
          <w:lang w:eastAsia="en-IN"/>
        </w:rPr>
        <w:t xml:space="preserve">, D. B., Coad, A., &amp; Segarra, A. (2014). Firm growth and innovation. </w:t>
      </w:r>
      <w:r w:rsidRPr="007968AF">
        <w:rPr>
          <w:rFonts w:ascii="Times-Italic" w:hAnsi="Times-Italic" w:cs="Times-Italic"/>
          <w:i/>
          <w:iCs/>
          <w:lang w:eastAsia="en-IN"/>
        </w:rPr>
        <w:t>Small Business</w:t>
      </w:r>
      <w:r w:rsidRPr="0080187B">
        <w:rPr>
          <w:rFonts w:asciiTheme="minorHAnsi" w:hAnsiTheme="minorHAnsi" w:cs="Times-Italic"/>
          <w:i/>
          <w:iCs/>
          <w:lang w:eastAsia="en-IN"/>
        </w:rPr>
        <w:t xml:space="preserve"> </w:t>
      </w:r>
      <w:r w:rsidRPr="007968AF">
        <w:rPr>
          <w:rFonts w:ascii="Times-Italic" w:hAnsi="Times-Italic" w:cs="Times-Italic"/>
          <w:i/>
          <w:iCs/>
          <w:lang w:eastAsia="en-IN"/>
        </w:rPr>
        <w:t>Economics, 43</w:t>
      </w:r>
      <w:r w:rsidRPr="007968AF">
        <w:rPr>
          <w:lang w:eastAsia="en-IN"/>
        </w:rPr>
        <w:t xml:space="preserve">(4), 743–749. </w:t>
      </w:r>
      <w:r w:rsidRPr="007968AF">
        <w:rPr>
          <w:color w:val="0000FF"/>
          <w:lang w:eastAsia="en-IN"/>
        </w:rPr>
        <w:t>https://doi.org/10.1007/s11187-014-9560-x</w:t>
      </w:r>
    </w:p>
    <w:p w14:paraId="5DAFA49F" w14:textId="677060E1" w:rsidR="007968AF" w:rsidRPr="007968AF" w:rsidRDefault="007968AF" w:rsidP="007968AF">
      <w:pPr>
        <w:pStyle w:val="reference"/>
        <w:rPr>
          <w:color w:val="0000FF"/>
          <w:lang w:eastAsia="en-IN"/>
        </w:rPr>
      </w:pPr>
      <w:r w:rsidRPr="007968AF">
        <w:rPr>
          <w:lang w:eastAsia="en-IN"/>
        </w:rPr>
        <w:t>Banbury, C. M., &amp; Mitchell, W. (1995). The effect of introducing important incremental innovations</w:t>
      </w:r>
      <w:r w:rsidRPr="007968AF">
        <w:rPr>
          <w:rFonts w:asciiTheme="minorHAnsi" w:hAnsiTheme="minorHAnsi"/>
          <w:lang w:eastAsia="en-IN"/>
        </w:rPr>
        <w:t xml:space="preserve"> </w:t>
      </w:r>
      <w:r w:rsidRPr="007968AF">
        <w:rPr>
          <w:lang w:eastAsia="en-IN"/>
        </w:rPr>
        <w:t xml:space="preserve">on market share and business survival. </w:t>
      </w:r>
      <w:r w:rsidRPr="007968AF">
        <w:rPr>
          <w:rFonts w:ascii="Times-Italic" w:hAnsi="Times-Italic" w:cs="Times-Italic"/>
          <w:i/>
          <w:iCs/>
          <w:lang w:eastAsia="en-IN"/>
        </w:rPr>
        <w:t>Strategic Management Journal, 16</w:t>
      </w:r>
      <w:r w:rsidRPr="007968AF">
        <w:rPr>
          <w:lang w:eastAsia="en-IN"/>
        </w:rPr>
        <w:t>(Special issue),</w:t>
      </w:r>
      <w:r w:rsidRPr="0080187B">
        <w:rPr>
          <w:lang w:eastAsia="en-IN"/>
        </w:rPr>
        <w:t xml:space="preserve"> </w:t>
      </w:r>
      <w:r w:rsidRPr="007968AF">
        <w:rPr>
          <w:lang w:eastAsia="en-IN"/>
        </w:rPr>
        <w:t xml:space="preserve">161–182. </w:t>
      </w:r>
      <w:r w:rsidRPr="007968AF">
        <w:rPr>
          <w:color w:val="0000FF"/>
          <w:lang w:eastAsia="en-IN"/>
        </w:rPr>
        <w:t>https://doi.org/10.1002/smj.4250160922</w:t>
      </w:r>
    </w:p>
    <w:p w14:paraId="6828D35B" w14:textId="34D413BD" w:rsidR="007968AF" w:rsidRPr="007968AF" w:rsidRDefault="007968AF" w:rsidP="007968AF">
      <w:pPr>
        <w:pStyle w:val="reference"/>
        <w:rPr>
          <w:color w:val="0000FF"/>
          <w:lang w:eastAsia="en-IN"/>
        </w:rPr>
      </w:pPr>
      <w:proofErr w:type="spellStart"/>
      <w:r w:rsidRPr="007968AF">
        <w:rPr>
          <w:lang w:eastAsia="en-IN"/>
        </w:rPr>
        <w:t>Becchetti</w:t>
      </w:r>
      <w:proofErr w:type="spellEnd"/>
      <w:r w:rsidRPr="007968AF">
        <w:rPr>
          <w:lang w:eastAsia="en-IN"/>
        </w:rPr>
        <w:t xml:space="preserve">, L., &amp; </w:t>
      </w:r>
      <w:proofErr w:type="spellStart"/>
      <w:r w:rsidRPr="007968AF">
        <w:rPr>
          <w:lang w:eastAsia="en-IN"/>
        </w:rPr>
        <w:t>Trovato</w:t>
      </w:r>
      <w:proofErr w:type="spellEnd"/>
      <w:r w:rsidRPr="007968AF">
        <w:rPr>
          <w:lang w:eastAsia="en-IN"/>
        </w:rPr>
        <w:t>, G. (2002). The determinants of growth for small and medium sized firms.</w:t>
      </w:r>
      <w:r w:rsidRPr="007968AF">
        <w:rPr>
          <w:rFonts w:asciiTheme="minorHAnsi" w:hAnsiTheme="minorHAnsi"/>
          <w:lang w:eastAsia="en-IN"/>
        </w:rPr>
        <w:t xml:space="preserve"> </w:t>
      </w:r>
      <w:r w:rsidRPr="007968AF">
        <w:rPr>
          <w:lang w:eastAsia="en-IN"/>
        </w:rPr>
        <w:t xml:space="preserve">The role of the availability of external finance. </w:t>
      </w:r>
      <w:r w:rsidRPr="007968AF">
        <w:rPr>
          <w:rFonts w:ascii="Times-Italic" w:hAnsi="Times-Italic" w:cs="Times-Italic"/>
          <w:i/>
          <w:iCs/>
          <w:lang w:eastAsia="en-IN"/>
        </w:rPr>
        <w:t>Small Business Economics, 19</w:t>
      </w:r>
      <w:r w:rsidRPr="007968AF">
        <w:rPr>
          <w:lang w:eastAsia="en-IN"/>
        </w:rPr>
        <w:t xml:space="preserve">(4), 291–306. </w:t>
      </w:r>
      <w:r w:rsidRPr="007968AF">
        <w:rPr>
          <w:color w:val="0000FF"/>
          <w:lang w:eastAsia="en-IN"/>
        </w:rPr>
        <w:t>https://doi.org/10.1023/A:1019678429111</w:t>
      </w:r>
    </w:p>
    <w:p w14:paraId="3E8ECEC0" w14:textId="75875BAD" w:rsidR="007968AF" w:rsidRPr="007968AF" w:rsidRDefault="007968AF" w:rsidP="007968AF">
      <w:pPr>
        <w:pStyle w:val="reference"/>
        <w:rPr>
          <w:color w:val="0000FF"/>
          <w:lang w:eastAsia="en-IN"/>
        </w:rPr>
      </w:pPr>
      <w:proofErr w:type="spellStart"/>
      <w:r w:rsidRPr="007968AF">
        <w:rPr>
          <w:lang w:eastAsia="en-IN"/>
        </w:rPr>
        <w:t>Bianchini</w:t>
      </w:r>
      <w:proofErr w:type="spellEnd"/>
      <w:r w:rsidRPr="007968AF">
        <w:rPr>
          <w:lang w:eastAsia="en-IN"/>
        </w:rPr>
        <w:t xml:space="preserve">, S., Pellegrino, G., &amp; </w:t>
      </w:r>
      <w:proofErr w:type="spellStart"/>
      <w:r w:rsidRPr="007968AF">
        <w:rPr>
          <w:lang w:eastAsia="en-IN"/>
        </w:rPr>
        <w:t>Tamagni</w:t>
      </w:r>
      <w:proofErr w:type="spellEnd"/>
      <w:r w:rsidRPr="007968AF">
        <w:rPr>
          <w:lang w:eastAsia="en-IN"/>
        </w:rPr>
        <w:t>, F. (2018). Innovation complementarities and firm growth.</w:t>
      </w:r>
      <w:r w:rsidRPr="007968AF">
        <w:rPr>
          <w:rFonts w:asciiTheme="minorHAnsi" w:hAnsiTheme="minorHAnsi"/>
          <w:lang w:eastAsia="en-IN"/>
        </w:rPr>
        <w:t xml:space="preserve"> </w:t>
      </w:r>
      <w:r w:rsidRPr="007968AF">
        <w:rPr>
          <w:rFonts w:ascii="Times-Italic" w:hAnsi="Times-Italic" w:cs="Times-Italic"/>
          <w:i/>
          <w:iCs/>
          <w:lang w:eastAsia="en-IN"/>
        </w:rPr>
        <w:t>Industrial and Corporate Change, 27</w:t>
      </w:r>
      <w:r w:rsidRPr="007968AF">
        <w:rPr>
          <w:lang w:eastAsia="en-IN"/>
        </w:rPr>
        <w:t xml:space="preserve">(4), 657–676. </w:t>
      </w:r>
      <w:r w:rsidRPr="007968AF">
        <w:rPr>
          <w:color w:val="0000FF"/>
          <w:lang w:eastAsia="en-IN"/>
        </w:rPr>
        <w:t>https://doi.org/10.1093/icc/dty008</w:t>
      </w:r>
    </w:p>
    <w:p w14:paraId="6C97746D" w14:textId="4705FF32" w:rsidR="007968AF" w:rsidRPr="007968AF" w:rsidRDefault="007968AF" w:rsidP="007968AF">
      <w:pPr>
        <w:pStyle w:val="reference"/>
        <w:rPr>
          <w:color w:val="0000FF"/>
          <w:lang w:eastAsia="en-IN"/>
        </w:rPr>
      </w:pPr>
      <w:proofErr w:type="spellStart"/>
      <w:r w:rsidRPr="007968AF">
        <w:rPr>
          <w:lang w:eastAsia="en-IN"/>
        </w:rPr>
        <w:t>Bottazzi</w:t>
      </w:r>
      <w:proofErr w:type="spellEnd"/>
      <w:r w:rsidRPr="007968AF">
        <w:rPr>
          <w:lang w:eastAsia="en-IN"/>
        </w:rPr>
        <w:t>, G., Coad, A., Jacoby, N., &amp; Secchi, A. (2005). Corporate growth and industrial dynamics:</w:t>
      </w:r>
      <w:r w:rsidRPr="007968AF">
        <w:rPr>
          <w:rFonts w:asciiTheme="minorHAnsi" w:hAnsiTheme="minorHAnsi"/>
          <w:lang w:eastAsia="en-IN"/>
        </w:rPr>
        <w:t xml:space="preserve"> </w:t>
      </w:r>
      <w:r w:rsidRPr="007968AF">
        <w:rPr>
          <w:lang w:eastAsia="en-IN"/>
        </w:rPr>
        <w:t xml:space="preserve">Evidence from French manufacturing. </w:t>
      </w:r>
      <w:r w:rsidRPr="007968AF">
        <w:rPr>
          <w:rFonts w:ascii="Times-Italic" w:hAnsi="Times-Italic" w:cs="Times-Italic"/>
          <w:i/>
          <w:iCs/>
          <w:lang w:eastAsia="en-IN"/>
        </w:rPr>
        <w:t>Applied Economics, 43</w:t>
      </w:r>
      <w:r w:rsidRPr="007968AF">
        <w:rPr>
          <w:lang w:eastAsia="en-IN"/>
        </w:rPr>
        <w:t xml:space="preserve">(1), 103–116. </w:t>
      </w:r>
      <w:r w:rsidRPr="007968AF">
        <w:rPr>
          <w:color w:val="0000FF"/>
          <w:lang w:eastAsia="en-IN"/>
        </w:rPr>
        <w:t>https://doi.org/10.1080/00036840802400454</w:t>
      </w:r>
    </w:p>
    <w:p w14:paraId="2D8C8CF3" w14:textId="2BF5B080" w:rsidR="007968AF" w:rsidRPr="007968AF" w:rsidRDefault="007968AF" w:rsidP="007968AF">
      <w:pPr>
        <w:pStyle w:val="reference"/>
        <w:rPr>
          <w:color w:val="0000FF"/>
          <w:lang w:eastAsia="en-IN"/>
        </w:rPr>
      </w:pPr>
      <w:proofErr w:type="spellStart"/>
      <w:r w:rsidRPr="007968AF">
        <w:rPr>
          <w:lang w:eastAsia="en-IN"/>
        </w:rPr>
        <w:t>Bottazzi</w:t>
      </w:r>
      <w:proofErr w:type="spellEnd"/>
      <w:r w:rsidRPr="007968AF">
        <w:rPr>
          <w:lang w:eastAsia="en-IN"/>
        </w:rPr>
        <w:t xml:space="preserve">, G., </w:t>
      </w:r>
      <w:proofErr w:type="spellStart"/>
      <w:r w:rsidRPr="007968AF">
        <w:rPr>
          <w:lang w:eastAsia="en-IN"/>
        </w:rPr>
        <w:t>Dosi</w:t>
      </w:r>
      <w:proofErr w:type="spellEnd"/>
      <w:r w:rsidRPr="007968AF">
        <w:rPr>
          <w:lang w:eastAsia="en-IN"/>
        </w:rPr>
        <w:t xml:space="preserve">, G., Lippi, M., </w:t>
      </w:r>
      <w:proofErr w:type="spellStart"/>
      <w:r w:rsidRPr="007968AF">
        <w:rPr>
          <w:lang w:eastAsia="en-IN"/>
        </w:rPr>
        <w:t>Pammolli</w:t>
      </w:r>
      <w:proofErr w:type="spellEnd"/>
      <w:r w:rsidRPr="007968AF">
        <w:rPr>
          <w:lang w:eastAsia="en-IN"/>
        </w:rPr>
        <w:t xml:space="preserve">, F., &amp; </w:t>
      </w:r>
      <w:proofErr w:type="spellStart"/>
      <w:r w:rsidRPr="007968AF">
        <w:rPr>
          <w:lang w:eastAsia="en-IN"/>
        </w:rPr>
        <w:t>Riccaboni</w:t>
      </w:r>
      <w:proofErr w:type="spellEnd"/>
      <w:r w:rsidRPr="007968AF">
        <w:rPr>
          <w:lang w:eastAsia="en-IN"/>
        </w:rPr>
        <w:t>, M. (2001). Innovation and corporate</w:t>
      </w:r>
      <w:r w:rsidRPr="007968AF">
        <w:rPr>
          <w:rFonts w:asciiTheme="minorHAnsi" w:hAnsiTheme="minorHAnsi"/>
          <w:lang w:eastAsia="en-IN"/>
        </w:rPr>
        <w:t xml:space="preserve"> </w:t>
      </w:r>
      <w:r w:rsidRPr="007968AF">
        <w:rPr>
          <w:lang w:eastAsia="en-IN"/>
        </w:rPr>
        <w:t xml:space="preserve">growth in the evolution of the drug industry. </w:t>
      </w:r>
      <w:r w:rsidRPr="007968AF">
        <w:rPr>
          <w:rFonts w:ascii="Times-Italic" w:hAnsi="Times-Italic" w:cs="Times-Italic"/>
          <w:i/>
          <w:iCs/>
          <w:lang w:eastAsia="en-IN"/>
        </w:rPr>
        <w:t>International Journal of Industrial Organization,</w:t>
      </w:r>
      <w:r w:rsidRPr="0080187B">
        <w:rPr>
          <w:rFonts w:asciiTheme="minorHAnsi" w:hAnsiTheme="minorHAnsi" w:cs="Times-Italic"/>
          <w:i/>
          <w:iCs/>
          <w:lang w:eastAsia="en-IN"/>
        </w:rPr>
        <w:t xml:space="preserve"> </w:t>
      </w:r>
      <w:r w:rsidRPr="007968AF">
        <w:rPr>
          <w:rFonts w:ascii="Times-Italic" w:hAnsi="Times-Italic" w:cs="Times-Italic"/>
          <w:i/>
          <w:iCs/>
          <w:lang w:eastAsia="en-IN"/>
        </w:rPr>
        <w:t>19</w:t>
      </w:r>
      <w:r w:rsidRPr="007968AF">
        <w:rPr>
          <w:lang w:eastAsia="en-IN"/>
        </w:rPr>
        <w:t xml:space="preserve">(7), 1161–1187. </w:t>
      </w:r>
      <w:r w:rsidRPr="007968AF">
        <w:rPr>
          <w:color w:val="0000FF"/>
          <w:lang w:eastAsia="en-IN"/>
        </w:rPr>
        <w:t>https://doi.org/10.1016/S0167-7187(01)00068-6</w:t>
      </w:r>
    </w:p>
    <w:p w14:paraId="1DE8636F" w14:textId="0D3EB627" w:rsidR="007968AF" w:rsidRPr="007968AF" w:rsidRDefault="007968AF" w:rsidP="007968AF">
      <w:pPr>
        <w:pStyle w:val="reference"/>
        <w:rPr>
          <w:color w:val="0000FF"/>
          <w:lang w:eastAsia="en-IN"/>
        </w:rPr>
      </w:pPr>
      <w:r w:rsidRPr="007968AF">
        <w:rPr>
          <w:lang w:eastAsia="en-IN"/>
        </w:rPr>
        <w:t xml:space="preserve">Brouwer, E., &amp; </w:t>
      </w:r>
      <w:proofErr w:type="spellStart"/>
      <w:r w:rsidRPr="007968AF">
        <w:rPr>
          <w:lang w:eastAsia="en-IN"/>
        </w:rPr>
        <w:t>Kleinknecht</w:t>
      </w:r>
      <w:proofErr w:type="spellEnd"/>
      <w:r w:rsidRPr="007968AF">
        <w:rPr>
          <w:lang w:eastAsia="en-IN"/>
        </w:rPr>
        <w:t xml:space="preserve">, A. (1999). Innovative output, and a firm’s propensity to patent: An exploration of CIS micro data. </w:t>
      </w:r>
      <w:r w:rsidRPr="007968AF">
        <w:rPr>
          <w:rFonts w:ascii="Times-Italic" w:hAnsi="Times-Italic" w:cs="Times-Italic"/>
          <w:i/>
          <w:iCs/>
          <w:lang w:eastAsia="en-IN"/>
        </w:rPr>
        <w:t>Research Policy, 28</w:t>
      </w:r>
      <w:r w:rsidRPr="007968AF">
        <w:rPr>
          <w:lang w:eastAsia="en-IN"/>
        </w:rPr>
        <w:t xml:space="preserve">(6), 615–624. </w:t>
      </w:r>
      <w:r w:rsidRPr="007968AF">
        <w:rPr>
          <w:color w:val="0000FF"/>
          <w:lang w:eastAsia="en-IN"/>
        </w:rPr>
        <w:t>https://doi.org/10.1016/S0048-7333(99)00003-7</w:t>
      </w:r>
    </w:p>
    <w:p w14:paraId="773B5929" w14:textId="77777777" w:rsidR="007968AF" w:rsidRPr="007968AF" w:rsidRDefault="007968AF" w:rsidP="007968AF">
      <w:pPr>
        <w:pStyle w:val="reference"/>
        <w:rPr>
          <w:lang w:eastAsia="en-IN"/>
        </w:rPr>
      </w:pPr>
      <w:proofErr w:type="spellStart"/>
      <w:r w:rsidRPr="007968AF">
        <w:rPr>
          <w:lang w:eastAsia="en-IN"/>
        </w:rPr>
        <w:t>Buchinsky</w:t>
      </w:r>
      <w:proofErr w:type="spellEnd"/>
      <w:r w:rsidRPr="007968AF">
        <w:rPr>
          <w:lang w:eastAsia="en-IN"/>
        </w:rPr>
        <w:t>, M. (1998). Recent advances in quantile regression models: A practical guideline</w:t>
      </w:r>
    </w:p>
    <w:p w14:paraId="3AD870CE" w14:textId="77777777" w:rsidR="007968AF" w:rsidRPr="007968AF" w:rsidRDefault="007968AF" w:rsidP="007968AF">
      <w:pPr>
        <w:pStyle w:val="reference"/>
        <w:rPr>
          <w:color w:val="0000FF"/>
          <w:lang w:eastAsia="en-IN"/>
        </w:rPr>
      </w:pPr>
      <w:r w:rsidRPr="007968AF">
        <w:rPr>
          <w:lang w:eastAsia="en-IN"/>
        </w:rPr>
        <w:t xml:space="preserve">for empirical research. </w:t>
      </w:r>
      <w:r w:rsidRPr="007968AF">
        <w:rPr>
          <w:rFonts w:ascii="Times-Italic" w:hAnsi="Times-Italic" w:cs="Times-Italic"/>
          <w:i/>
          <w:iCs/>
          <w:lang w:eastAsia="en-IN"/>
        </w:rPr>
        <w:t>Journal of Human Resources, 33</w:t>
      </w:r>
      <w:r w:rsidRPr="007968AF">
        <w:rPr>
          <w:lang w:eastAsia="en-IN"/>
        </w:rPr>
        <w:t xml:space="preserve">(1), 88–126. </w:t>
      </w:r>
      <w:r w:rsidRPr="007968AF">
        <w:rPr>
          <w:color w:val="0000FF"/>
          <w:lang w:eastAsia="en-IN"/>
        </w:rPr>
        <w:t>https://doi.org/10.2307/</w:t>
      </w:r>
    </w:p>
    <w:p w14:paraId="1C6C72DE" w14:textId="77777777" w:rsidR="007968AF" w:rsidRPr="007968AF" w:rsidRDefault="007968AF" w:rsidP="007968AF">
      <w:pPr>
        <w:pStyle w:val="reference"/>
        <w:rPr>
          <w:color w:val="0000FF"/>
          <w:lang w:eastAsia="en-IN"/>
        </w:rPr>
      </w:pPr>
      <w:r w:rsidRPr="007968AF">
        <w:rPr>
          <w:color w:val="0000FF"/>
          <w:lang w:eastAsia="en-IN"/>
        </w:rPr>
        <w:t>146316</w:t>
      </w:r>
    </w:p>
    <w:p w14:paraId="3FB5B6D6" w14:textId="3679C4B7" w:rsidR="007968AF" w:rsidRPr="007968AF" w:rsidRDefault="007968AF" w:rsidP="007968AF">
      <w:pPr>
        <w:pStyle w:val="reference"/>
        <w:rPr>
          <w:lang w:eastAsia="en-IN"/>
        </w:rPr>
      </w:pPr>
      <w:r w:rsidRPr="007968AF">
        <w:rPr>
          <w:lang w:eastAsia="en-IN"/>
        </w:rPr>
        <w:t xml:space="preserve">Coad, A. (2009). </w:t>
      </w:r>
      <w:r w:rsidRPr="007968AF">
        <w:rPr>
          <w:rFonts w:ascii="Times-Italic" w:hAnsi="Times-Italic" w:cs="Times-Italic"/>
          <w:i/>
          <w:iCs/>
          <w:lang w:eastAsia="en-IN"/>
        </w:rPr>
        <w:t>The growth of firms: A survey of theories and empirical evidence</w:t>
      </w:r>
      <w:r w:rsidRPr="007968AF">
        <w:rPr>
          <w:lang w:eastAsia="en-IN"/>
        </w:rPr>
        <w:t>. Cheltenham:</w:t>
      </w:r>
      <w:r w:rsidRPr="0080187B">
        <w:rPr>
          <w:lang w:eastAsia="en-IN"/>
        </w:rPr>
        <w:t xml:space="preserve"> </w:t>
      </w:r>
      <w:r w:rsidRPr="007968AF">
        <w:rPr>
          <w:lang w:eastAsia="en-IN"/>
        </w:rPr>
        <w:t>Edward Elgar Publishing.</w:t>
      </w:r>
    </w:p>
    <w:p w14:paraId="1C85C91F" w14:textId="6631E8FF" w:rsidR="007968AF" w:rsidRPr="007968AF" w:rsidRDefault="007968AF" w:rsidP="007968AF">
      <w:pPr>
        <w:pStyle w:val="reference"/>
        <w:rPr>
          <w:color w:val="0000FF"/>
          <w:lang w:eastAsia="en-IN"/>
        </w:rPr>
      </w:pPr>
      <w:r w:rsidRPr="007968AF">
        <w:rPr>
          <w:lang w:eastAsia="en-IN"/>
        </w:rPr>
        <w:t>Coad, A., &amp; Rao, R. (2008). Innovation and firm growth in high tech sectors: A quantile regression</w:t>
      </w:r>
      <w:r w:rsidRPr="007968AF">
        <w:rPr>
          <w:rFonts w:asciiTheme="minorHAnsi" w:hAnsiTheme="minorHAnsi"/>
          <w:lang w:eastAsia="en-IN"/>
        </w:rPr>
        <w:t xml:space="preserve"> </w:t>
      </w:r>
      <w:r w:rsidRPr="007968AF">
        <w:rPr>
          <w:lang w:eastAsia="en-IN"/>
        </w:rPr>
        <w:t xml:space="preserve">approach. </w:t>
      </w:r>
      <w:r w:rsidRPr="007968AF">
        <w:rPr>
          <w:rFonts w:ascii="Times-Italic" w:hAnsi="Times-Italic" w:cs="Times-Italic"/>
          <w:i/>
          <w:iCs/>
          <w:lang w:eastAsia="en-IN"/>
        </w:rPr>
        <w:t>Research Policy, 37</w:t>
      </w:r>
      <w:r w:rsidRPr="007968AF">
        <w:rPr>
          <w:lang w:eastAsia="en-IN"/>
        </w:rPr>
        <w:t xml:space="preserve">(4), 633–648. </w:t>
      </w:r>
      <w:r w:rsidRPr="007968AF">
        <w:rPr>
          <w:color w:val="0000FF"/>
          <w:lang w:eastAsia="en-IN"/>
        </w:rPr>
        <w:t>https://doi.org/10.1016/j.respol.2008.01.003</w:t>
      </w:r>
    </w:p>
    <w:p w14:paraId="0EF60425" w14:textId="16095006" w:rsidR="007968AF" w:rsidRPr="007968AF" w:rsidRDefault="007968AF" w:rsidP="007968AF">
      <w:pPr>
        <w:pStyle w:val="reference"/>
        <w:rPr>
          <w:color w:val="0000FF"/>
          <w:lang w:eastAsia="en-IN"/>
        </w:rPr>
      </w:pPr>
      <w:r w:rsidRPr="007968AF">
        <w:rPr>
          <w:lang w:eastAsia="en-IN"/>
        </w:rPr>
        <w:t xml:space="preserve">Coad, A., &amp; Rao, R. (2011). The firm-level employment effects of innovations in high-tech US manufacturing industries. </w:t>
      </w:r>
      <w:r w:rsidRPr="007968AF">
        <w:rPr>
          <w:rFonts w:ascii="Times-Italic" w:hAnsi="Times-Italic" w:cs="Times-Italic"/>
          <w:i/>
          <w:iCs/>
          <w:lang w:eastAsia="en-IN"/>
        </w:rPr>
        <w:t>Journal of Evolutionary Economics, 21</w:t>
      </w:r>
      <w:r w:rsidRPr="007968AF">
        <w:rPr>
          <w:lang w:eastAsia="en-IN"/>
        </w:rPr>
        <w:t xml:space="preserve">(2), 255–283. </w:t>
      </w:r>
      <w:r w:rsidRPr="007968AF">
        <w:rPr>
          <w:color w:val="0000FF"/>
          <w:lang w:eastAsia="en-IN"/>
        </w:rPr>
        <w:t>https://doi.org/10.1007/s00191-010-0209-x</w:t>
      </w:r>
    </w:p>
    <w:p w14:paraId="1175B9A2" w14:textId="1EE8DD99" w:rsidR="007968AF" w:rsidRPr="007968AF" w:rsidRDefault="007968AF" w:rsidP="007968AF">
      <w:pPr>
        <w:pStyle w:val="reference"/>
        <w:rPr>
          <w:color w:val="0000FF"/>
          <w:lang w:eastAsia="en-IN"/>
        </w:rPr>
      </w:pPr>
      <w:r w:rsidRPr="007968AF">
        <w:rPr>
          <w:lang w:eastAsia="en-IN"/>
        </w:rPr>
        <w:t xml:space="preserve">Coad, A., Segarra, A., &amp; </w:t>
      </w:r>
      <w:proofErr w:type="spellStart"/>
      <w:r w:rsidRPr="007968AF">
        <w:rPr>
          <w:lang w:eastAsia="en-IN"/>
        </w:rPr>
        <w:t>Teruel</w:t>
      </w:r>
      <w:proofErr w:type="spellEnd"/>
      <w:r w:rsidRPr="007968AF">
        <w:rPr>
          <w:lang w:eastAsia="en-IN"/>
        </w:rPr>
        <w:t xml:space="preserve">, M. (2013). Like milk or wine: Does firm performance improve with age? </w:t>
      </w:r>
      <w:r w:rsidRPr="007968AF">
        <w:rPr>
          <w:rFonts w:ascii="Times-Italic" w:hAnsi="Times-Italic" w:cs="Times-Italic"/>
          <w:i/>
          <w:iCs/>
          <w:lang w:eastAsia="en-IN"/>
        </w:rPr>
        <w:t>Structural Change and Economic Dynamics, 24</w:t>
      </w:r>
      <w:r w:rsidRPr="007968AF">
        <w:rPr>
          <w:lang w:eastAsia="en-IN"/>
        </w:rPr>
        <w:t xml:space="preserve">(1), 173–189. </w:t>
      </w:r>
      <w:r w:rsidRPr="007968AF">
        <w:rPr>
          <w:color w:val="0000FF"/>
          <w:lang w:eastAsia="en-IN"/>
        </w:rPr>
        <w:t>https://doi.org/10.1016/j.strueco.2012.07.002</w:t>
      </w:r>
    </w:p>
    <w:p w14:paraId="1A87EAFB" w14:textId="428DE36F" w:rsidR="007968AF" w:rsidRPr="007968AF" w:rsidRDefault="007968AF" w:rsidP="007968AF">
      <w:pPr>
        <w:pStyle w:val="reference"/>
        <w:rPr>
          <w:color w:val="0000FF"/>
          <w:lang w:eastAsia="en-IN"/>
        </w:rPr>
      </w:pPr>
      <w:r w:rsidRPr="007968AF">
        <w:rPr>
          <w:lang w:eastAsia="en-IN"/>
        </w:rPr>
        <w:t xml:space="preserve">Coad, A., Segarra, A., &amp; </w:t>
      </w:r>
      <w:proofErr w:type="spellStart"/>
      <w:r w:rsidRPr="007968AF">
        <w:rPr>
          <w:lang w:eastAsia="en-IN"/>
        </w:rPr>
        <w:t>Teruel</w:t>
      </w:r>
      <w:proofErr w:type="spellEnd"/>
      <w:r w:rsidRPr="007968AF">
        <w:rPr>
          <w:lang w:eastAsia="en-IN"/>
        </w:rPr>
        <w:t xml:space="preserve">, M. (2016). Innovation and firm growth: </w:t>
      </w:r>
      <w:proofErr w:type="gramStart"/>
      <w:r w:rsidRPr="007968AF">
        <w:rPr>
          <w:lang w:eastAsia="en-IN"/>
        </w:rPr>
        <w:t>Does</w:t>
      </w:r>
      <w:proofErr w:type="gramEnd"/>
      <w:r w:rsidRPr="007968AF">
        <w:rPr>
          <w:lang w:eastAsia="en-IN"/>
        </w:rPr>
        <w:t xml:space="preserve"> firm age play a role?</w:t>
      </w:r>
      <w:r w:rsidRPr="007968AF">
        <w:rPr>
          <w:rFonts w:asciiTheme="minorHAnsi" w:hAnsiTheme="minorHAnsi"/>
          <w:lang w:eastAsia="en-IN"/>
        </w:rPr>
        <w:t xml:space="preserve"> </w:t>
      </w:r>
      <w:r w:rsidRPr="007968AF">
        <w:rPr>
          <w:rFonts w:ascii="Times-Italic" w:hAnsi="Times-Italic" w:cs="Times-Italic"/>
          <w:i/>
          <w:iCs/>
          <w:lang w:eastAsia="en-IN"/>
        </w:rPr>
        <w:t>Research Policy, 45</w:t>
      </w:r>
      <w:r w:rsidRPr="007968AF">
        <w:rPr>
          <w:lang w:eastAsia="en-IN"/>
        </w:rPr>
        <w:t xml:space="preserve">(2), 387–400. </w:t>
      </w:r>
      <w:r w:rsidRPr="007968AF">
        <w:rPr>
          <w:color w:val="0000FF"/>
          <w:lang w:eastAsia="en-IN"/>
        </w:rPr>
        <w:t>https://doi.org/10.1016/j.respol.2015.10.015</w:t>
      </w:r>
    </w:p>
    <w:p w14:paraId="05A62AB9" w14:textId="6689FD9D" w:rsidR="007968AF" w:rsidRPr="007968AF" w:rsidRDefault="007968AF" w:rsidP="007968AF">
      <w:pPr>
        <w:pStyle w:val="reference"/>
        <w:rPr>
          <w:color w:val="0000FF"/>
          <w:lang w:eastAsia="en-IN"/>
        </w:rPr>
      </w:pPr>
      <w:r w:rsidRPr="007968AF">
        <w:rPr>
          <w:lang w:eastAsia="en-IN"/>
        </w:rPr>
        <w:lastRenderedPageBreak/>
        <w:t xml:space="preserve">Cohen, W. M., &amp; </w:t>
      </w:r>
      <w:proofErr w:type="spellStart"/>
      <w:r w:rsidRPr="007968AF">
        <w:rPr>
          <w:lang w:eastAsia="en-IN"/>
        </w:rPr>
        <w:t>Klepper</w:t>
      </w:r>
      <w:proofErr w:type="spellEnd"/>
      <w:r w:rsidRPr="007968AF">
        <w:rPr>
          <w:lang w:eastAsia="en-IN"/>
        </w:rPr>
        <w:t>, S. (1996). Firm size and the nature of innovation within industries:</w:t>
      </w:r>
      <w:r w:rsidRPr="007968AF">
        <w:rPr>
          <w:rFonts w:asciiTheme="minorHAnsi" w:hAnsiTheme="minorHAnsi"/>
          <w:lang w:eastAsia="en-IN"/>
        </w:rPr>
        <w:t xml:space="preserve"> </w:t>
      </w:r>
      <w:r w:rsidRPr="007968AF">
        <w:rPr>
          <w:lang w:eastAsia="en-IN"/>
        </w:rPr>
        <w:t>The</w:t>
      </w:r>
      <w:r w:rsidRPr="007968AF">
        <w:rPr>
          <w:rFonts w:asciiTheme="minorHAnsi" w:hAnsiTheme="minorHAnsi"/>
          <w:lang w:eastAsia="en-IN"/>
        </w:rPr>
        <w:t xml:space="preserve"> </w:t>
      </w:r>
      <w:r w:rsidRPr="007968AF">
        <w:rPr>
          <w:lang w:eastAsia="en-IN"/>
        </w:rPr>
        <w:t xml:space="preserve">case of process and product R&amp;D. </w:t>
      </w:r>
      <w:r w:rsidRPr="007968AF">
        <w:rPr>
          <w:rFonts w:ascii="Times-Italic" w:hAnsi="Times-Italic" w:cs="Times-Italic"/>
          <w:i/>
          <w:iCs/>
          <w:lang w:eastAsia="en-IN"/>
        </w:rPr>
        <w:t>The Review of Economics and Statistics, 78</w:t>
      </w:r>
      <w:r w:rsidRPr="007968AF">
        <w:rPr>
          <w:lang w:eastAsia="en-IN"/>
        </w:rPr>
        <w:t>(2), 232–243.</w:t>
      </w:r>
      <w:r w:rsidRPr="007968AF">
        <w:rPr>
          <w:color w:val="0000FF"/>
          <w:lang w:eastAsia="en-IN"/>
        </w:rPr>
        <w:t>https://doi.org/10.2307/2109925</w:t>
      </w:r>
    </w:p>
    <w:p w14:paraId="471A2EC5" w14:textId="44193306" w:rsidR="007968AF" w:rsidRDefault="007968AF" w:rsidP="007968AF">
      <w:pPr>
        <w:pStyle w:val="reference"/>
        <w:rPr>
          <w:color w:val="0000FF"/>
          <w:lang w:eastAsia="en-IN"/>
        </w:rPr>
      </w:pPr>
      <w:r w:rsidRPr="007968AF">
        <w:rPr>
          <w:lang w:eastAsia="en-IN"/>
        </w:rPr>
        <w:t xml:space="preserve">Cohen, W., Nelson, R., &amp; Walsh, J. (2000). </w:t>
      </w:r>
      <w:r w:rsidRPr="007968AF">
        <w:rPr>
          <w:rFonts w:ascii="Times-Italic" w:hAnsi="Times-Italic" w:cs="Times-Italic"/>
          <w:i/>
          <w:iCs/>
          <w:lang w:eastAsia="en-IN"/>
        </w:rPr>
        <w:t>Protecting their intellectual assets: Appropriability</w:t>
      </w:r>
      <w:r w:rsidRPr="007968AF">
        <w:rPr>
          <w:rFonts w:asciiTheme="minorHAnsi" w:hAnsiTheme="minorHAnsi" w:cs="Times-Italic"/>
          <w:i/>
          <w:iCs/>
          <w:lang w:eastAsia="en-IN"/>
        </w:rPr>
        <w:t xml:space="preserve"> </w:t>
      </w:r>
      <w:r w:rsidRPr="007968AF">
        <w:rPr>
          <w:rFonts w:ascii="Times-Italic" w:hAnsi="Times-Italic" w:cs="Times-Italic"/>
          <w:i/>
          <w:iCs/>
          <w:lang w:eastAsia="en-IN"/>
        </w:rPr>
        <w:t>conditions and why US manufacturing firms patent (or not)</w:t>
      </w:r>
      <w:r w:rsidRPr="007968AF">
        <w:rPr>
          <w:lang w:eastAsia="en-IN"/>
        </w:rPr>
        <w:t>. NBER working paper no 7552.</w:t>
      </w:r>
      <w:r w:rsidRPr="007968AF">
        <w:rPr>
          <w:rFonts w:asciiTheme="minorHAnsi" w:hAnsiTheme="minorHAnsi"/>
          <w:lang w:eastAsia="en-IN"/>
        </w:rPr>
        <w:t xml:space="preserve"> </w:t>
      </w:r>
      <w:hyperlink r:id="rId8" w:history="1">
        <w:r w:rsidR="0080187B" w:rsidRPr="00547FE5">
          <w:rPr>
            <w:rStyle w:val="a6"/>
            <w:lang w:eastAsia="en-IN"/>
          </w:rPr>
          <w:t>https://doi.org/10.3386/w7552</w:t>
        </w:r>
      </w:hyperlink>
    </w:p>
    <w:p w14:paraId="2DFD62ED" w14:textId="77777777" w:rsidR="0080187B" w:rsidRDefault="0080187B" w:rsidP="0080187B">
      <w:pPr>
        <w:keepNext/>
        <w:keepLines/>
        <w:tabs>
          <w:tab w:val="left" w:pos="454"/>
        </w:tabs>
        <w:suppressAutoHyphens/>
        <w:spacing w:before="600" w:after="320"/>
        <w:ind w:firstLine="0"/>
        <w:jc w:val="left"/>
        <w:rPr>
          <w:b/>
          <w:sz w:val="24"/>
        </w:rPr>
      </w:pPr>
      <w:r>
        <w:rPr>
          <w:b/>
          <w:sz w:val="24"/>
        </w:rPr>
        <w:t>About Authors</w:t>
      </w:r>
    </w:p>
    <w:p w14:paraId="6CC8EE32" w14:textId="77777777" w:rsidR="0080187B" w:rsidRDefault="0080187B" w:rsidP="0080187B">
      <w:pPr>
        <w:ind w:firstLine="0"/>
      </w:pPr>
      <w:r>
        <w:t>Name Middle name Last name [Full Name] – Academic degree, Academic status, Position, Department, Organization (organization address, country); Position next, Department next, Organization next (address of organization, country).</w:t>
      </w:r>
    </w:p>
    <w:p w14:paraId="7366EBAC" w14:textId="77777777" w:rsidR="0080187B" w:rsidRDefault="0080187B" w:rsidP="0080187B">
      <w:pPr>
        <w:ind w:firstLine="0"/>
      </w:pPr>
      <w:r>
        <w:t xml:space="preserve">E-mail: </w:t>
      </w:r>
      <w:hyperlink r:id="rId9" w:history="1">
        <w:r>
          <w:rPr>
            <w:rStyle w:val="a6"/>
          </w:rPr>
          <w:t>name@www.com</w:t>
        </w:r>
      </w:hyperlink>
      <w:r>
        <w:t xml:space="preserve">  </w:t>
      </w:r>
    </w:p>
    <w:p w14:paraId="4E6C1AE5" w14:textId="77777777" w:rsidR="0080187B" w:rsidRDefault="0080187B" w:rsidP="0080187B">
      <w:pPr>
        <w:ind w:firstLine="0"/>
      </w:pPr>
      <w:proofErr w:type="spellStart"/>
      <w:r>
        <w:t>ORCID</w:t>
      </w:r>
      <w:proofErr w:type="spellEnd"/>
      <w:r>
        <w:t xml:space="preserve">: </w:t>
      </w:r>
      <w:hyperlink r:id="rId10" w:history="1">
        <w:r>
          <w:rPr>
            <w:rStyle w:val="a6"/>
          </w:rPr>
          <w:t>https://orcid.org/0000-0000-0000-0000</w:t>
        </w:r>
      </w:hyperlink>
      <w:r>
        <w:t xml:space="preserve">  </w:t>
      </w:r>
    </w:p>
    <w:p w14:paraId="2450B54F" w14:textId="77777777" w:rsidR="0080187B" w:rsidRDefault="0080187B" w:rsidP="0080187B">
      <w:pPr>
        <w:ind w:firstLine="0"/>
      </w:pPr>
    </w:p>
    <w:p w14:paraId="474863AD" w14:textId="77777777" w:rsidR="0080187B" w:rsidRDefault="0080187B" w:rsidP="0080187B">
      <w:pPr>
        <w:ind w:firstLine="0"/>
      </w:pPr>
      <w:r>
        <w:t xml:space="preserve">Victoria V. </w:t>
      </w:r>
      <w:proofErr w:type="spellStart"/>
      <w:r>
        <w:t>Akberdina</w:t>
      </w:r>
      <w:proofErr w:type="spellEnd"/>
      <w:r>
        <w:t xml:space="preserve"> – </w:t>
      </w:r>
      <w:proofErr w:type="spellStart"/>
      <w:r>
        <w:t>Corr.Memb</w:t>
      </w:r>
      <w:proofErr w:type="spellEnd"/>
      <w:r>
        <w:t xml:space="preserve">. of the Russian Academy of Sciences, </w:t>
      </w:r>
      <w:proofErr w:type="spellStart"/>
      <w:r>
        <w:t>Dr.Sci</w:t>
      </w:r>
      <w:proofErr w:type="spellEnd"/>
      <w:r>
        <w:t xml:space="preserve">. (Economics), Prof., Deputy Director of the Institute of Economics of the Ural Branch of the Russian Academy of Sciences (29, </w:t>
      </w:r>
      <w:proofErr w:type="spellStart"/>
      <w:r>
        <w:t>Moskovskaya</w:t>
      </w:r>
      <w:proofErr w:type="spellEnd"/>
      <w:r>
        <w:t xml:space="preserve"> str., 620014 Ekaterinburg, Russian Federation). </w:t>
      </w:r>
    </w:p>
    <w:p w14:paraId="3F24C4BB" w14:textId="77777777" w:rsidR="0080187B" w:rsidRDefault="0080187B" w:rsidP="0080187B">
      <w:pPr>
        <w:ind w:firstLine="0"/>
      </w:pPr>
      <w:r>
        <w:t xml:space="preserve">E-mail: </w:t>
      </w:r>
      <w:hyperlink r:id="rId11" w:history="1">
        <w:r>
          <w:rPr>
            <w:rStyle w:val="a6"/>
          </w:rPr>
          <w:t>name@www.com</w:t>
        </w:r>
      </w:hyperlink>
      <w:r>
        <w:t xml:space="preserve"> </w:t>
      </w:r>
    </w:p>
    <w:p w14:paraId="009C0E75" w14:textId="77777777" w:rsidR="0080187B" w:rsidRDefault="0080187B" w:rsidP="0080187B">
      <w:pPr>
        <w:ind w:firstLine="0"/>
      </w:pPr>
      <w:proofErr w:type="spellStart"/>
      <w:r>
        <w:t>ORCID</w:t>
      </w:r>
      <w:proofErr w:type="spellEnd"/>
      <w:r>
        <w:t xml:space="preserve">: </w:t>
      </w:r>
      <w:hyperlink r:id="rId12" w:history="1">
        <w:r>
          <w:rPr>
            <w:rStyle w:val="a6"/>
          </w:rPr>
          <w:t>https://orcid.org/0000-0000-0000-0000</w:t>
        </w:r>
      </w:hyperlink>
      <w:r>
        <w:t xml:space="preserve"> </w:t>
      </w:r>
    </w:p>
    <w:p w14:paraId="7DE34DC8" w14:textId="77777777" w:rsidR="0080187B" w:rsidRDefault="0080187B" w:rsidP="0080187B">
      <w:pPr>
        <w:ind w:firstLine="0"/>
      </w:pPr>
    </w:p>
    <w:p w14:paraId="142BE31A" w14:textId="77777777" w:rsidR="0080187B" w:rsidRDefault="0080187B" w:rsidP="0080187B">
      <w:pPr>
        <w:ind w:firstLine="0"/>
      </w:pPr>
      <w:proofErr w:type="spellStart"/>
      <w:r>
        <w:t>Grigorios</w:t>
      </w:r>
      <w:proofErr w:type="spellEnd"/>
      <w:r>
        <w:t xml:space="preserve"> Kyriakopoulos – PhD, Prof., School of Electrical and Computer Engineering, National Technical University of Athens (</w:t>
      </w:r>
      <w:proofErr w:type="spellStart"/>
      <w:r>
        <w:t>Heroon</w:t>
      </w:r>
      <w:proofErr w:type="spellEnd"/>
      <w:r>
        <w:t xml:space="preserve"> </w:t>
      </w:r>
      <w:proofErr w:type="spellStart"/>
      <w:r>
        <w:t>Polytechniou</w:t>
      </w:r>
      <w:proofErr w:type="spellEnd"/>
      <w:r>
        <w:t xml:space="preserve"> 9, </w:t>
      </w:r>
      <w:proofErr w:type="spellStart"/>
      <w:r>
        <w:t>Zografou</w:t>
      </w:r>
      <w:proofErr w:type="spellEnd"/>
      <w:r>
        <w:t xml:space="preserve"> Campus, 15780 Athens, Greece).</w:t>
      </w:r>
    </w:p>
    <w:p w14:paraId="72B41B9B" w14:textId="77777777" w:rsidR="0080187B" w:rsidRDefault="0080187B" w:rsidP="0080187B">
      <w:pPr>
        <w:ind w:firstLine="0"/>
      </w:pPr>
      <w:r>
        <w:t xml:space="preserve">E-mail: </w:t>
      </w:r>
      <w:hyperlink r:id="rId13" w:history="1">
        <w:r>
          <w:rPr>
            <w:rStyle w:val="a6"/>
          </w:rPr>
          <w:t>name@www.com</w:t>
        </w:r>
      </w:hyperlink>
      <w:r>
        <w:t xml:space="preserve">  </w:t>
      </w:r>
    </w:p>
    <w:p w14:paraId="02940E3C" w14:textId="77777777" w:rsidR="0080187B" w:rsidRDefault="0080187B" w:rsidP="0080187B">
      <w:pPr>
        <w:ind w:firstLine="0"/>
      </w:pPr>
      <w:proofErr w:type="spellStart"/>
      <w:r>
        <w:t>ORCID</w:t>
      </w:r>
      <w:proofErr w:type="spellEnd"/>
      <w:r>
        <w:t xml:space="preserve">: </w:t>
      </w:r>
      <w:hyperlink r:id="rId14" w:history="1">
        <w:r>
          <w:rPr>
            <w:rStyle w:val="a6"/>
          </w:rPr>
          <w:t>https://orcid.org/0000-0000-0000-0000</w:t>
        </w:r>
      </w:hyperlink>
      <w:r>
        <w:t xml:space="preserve">  </w:t>
      </w:r>
    </w:p>
    <w:p w14:paraId="68100296" w14:textId="77777777" w:rsidR="0080187B" w:rsidRPr="00B7358A" w:rsidRDefault="0080187B" w:rsidP="007968AF">
      <w:pPr>
        <w:pStyle w:val="reference"/>
      </w:pPr>
    </w:p>
    <w:sectPr w:rsidR="0080187B" w:rsidRPr="00B7358A" w:rsidSect="00D07E97">
      <w:headerReference w:type="even" r:id="rId15"/>
      <w:headerReference w:type="default" r:id="rId16"/>
      <w:footerReference w:type="even" r:id="rId17"/>
      <w:footerReference w:type="default" r:id="rId18"/>
      <w:headerReference w:type="first" r:id="rId19"/>
      <w:footerReference w:type="first" r:id="rId20"/>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BB6EB" w14:textId="77777777" w:rsidR="003C5553" w:rsidRDefault="003C5553">
      <w:r>
        <w:separator/>
      </w:r>
    </w:p>
  </w:endnote>
  <w:endnote w:type="continuationSeparator" w:id="0">
    <w:p w14:paraId="16C4AF90" w14:textId="77777777" w:rsidR="003C5553" w:rsidRDefault="003C5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CC"/>
    <w:family w:val="roman"/>
    <w:pitch w:val="variable"/>
    <w:sig w:usb0="E0002EFF" w:usb1="C000785B" w:usb2="00000009" w:usb3="00000000" w:csb0="000001FF" w:csb1="00000000"/>
    <w:embedRegular r:id="rId1" w:fontKey="{690A552A-4537-4755-81F8-2A2FE865256A}"/>
    <w:embedBold r:id="rId2" w:fontKey="{61ADCCD5-B31A-4CDB-A00C-D3D8E4CBA70E}"/>
    <w:embedItalic r:id="rId3" w:fontKey="{83D59678-6405-4FB2-9CE0-4D9AFAF5147B}"/>
    <w:embedBoldItalic r:id="rId4" w:fontKey="{CABA2D9F-53D4-4D03-AFB4-B5FDEEB92E25}"/>
  </w:font>
  <w:font w:name="Times New Roman">
    <w:panose1 w:val="02020603050405020304"/>
    <w:charset w:val="00"/>
    <w:family w:val="roman"/>
    <w:pitch w:val="variable"/>
    <w:sig w:usb0="E0002AFF" w:usb1="C0007843" w:usb2="00000009" w:usb3="00000000" w:csb0="000001FF" w:csb1="00000000"/>
  </w:font>
  <w:font w:name="Tms Rmn">
    <w:panose1 w:val="0202060304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57ABA561-CA7E-4834-9250-222B89FB247D}"/>
    <w:embedItalic r:id="rId6" w:fontKey="{54FD4AF6-7001-4D09-B7B3-21F6B7F83EF1}"/>
    <w:embedBoldItalic r:id="rId7" w:fontKey="{F1A6E1B3-D5BF-4F11-825B-F16DA4E9443D}"/>
  </w:font>
  <w:font w:name="Cambria">
    <w:panose1 w:val="02040503050406030204"/>
    <w:charset w:val="00"/>
    <w:family w:val="roman"/>
    <w:pitch w:val="variable"/>
    <w:sig w:usb0="A00002EF" w:usb1="4000004B" w:usb2="00000000" w:usb3="00000000" w:csb0="0000009F" w:csb1="00000000"/>
    <w:embedRegular r:id="rId8" w:fontKey="{5CE31507-F509-4C13-9470-D21546E62297}"/>
  </w:font>
  <w:font w:name="Segoe UI Emoji">
    <w:panose1 w:val="020B0502040204020203"/>
    <w:charset w:val="00"/>
    <w:family w:val="swiss"/>
    <w:pitch w:val="variable"/>
    <w:sig w:usb0="00000003" w:usb1="02000000" w:usb2="00000000" w:usb3="00000000" w:csb0="00000001" w:csb1="00000000"/>
    <w:embedRegular r:id="rId9" w:fontKey="{0595A269-6DF0-4E7C-9455-8A15F3CE1EB9}"/>
  </w:font>
  <w:font w:name="Times-Italic">
    <w:altName w:val="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30FDA" w14:textId="77777777" w:rsidR="00AB1002" w:rsidRDefault="00AB100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ED577" w14:textId="77777777" w:rsidR="00AB1002" w:rsidRDefault="00AB1002">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8E071" w14:textId="77777777" w:rsidR="00AB1002" w:rsidRDefault="00AB100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EE66E" w14:textId="77777777" w:rsidR="003C5553" w:rsidRDefault="003C5553">
      <w:r>
        <w:separator/>
      </w:r>
    </w:p>
  </w:footnote>
  <w:footnote w:type="continuationSeparator" w:id="0">
    <w:p w14:paraId="5C1853F8" w14:textId="77777777" w:rsidR="003C5553" w:rsidRDefault="003C5553">
      <w:r>
        <w:continuationSeparator/>
      </w:r>
    </w:p>
  </w:footnote>
  <w:footnote w:id="1">
    <w:p w14:paraId="4A1BA341" w14:textId="77777777" w:rsidR="005B18F6" w:rsidRPr="005B18F6" w:rsidRDefault="005B18F6" w:rsidP="005B18F6">
      <w:pPr>
        <w:pStyle w:val="p1a"/>
      </w:pPr>
      <w:r w:rsidRPr="005B18F6">
        <w:rPr>
          <w:rStyle w:val="a4"/>
        </w:rPr>
        <w:footnoteRef/>
      </w:r>
      <w:r w:rsidRPr="005B18F6">
        <w:t xml:space="preserve"> J. </w:t>
      </w:r>
      <w:proofErr w:type="spellStart"/>
      <w:r w:rsidRPr="005B18F6">
        <w:t>Lemos</w:t>
      </w:r>
      <w:proofErr w:type="spellEnd"/>
      <w:r w:rsidRPr="005B18F6">
        <w:t xml:space="preserve"> (</w:t>
      </w:r>
      <w:r w:rsidRPr="005B18F6">
        <w:rPr>
          <w:rFonts w:ascii="Segoe UI Emoji" w:hAnsi="Segoe UI Emoji" w:cs="Segoe UI Emoji"/>
        </w:rPr>
        <w:t>✉</w:t>
      </w:r>
      <w:r w:rsidRPr="005B18F6">
        <w:t xml:space="preserve">) </w:t>
      </w:r>
    </w:p>
    <w:p w14:paraId="2152CCCE" w14:textId="77777777" w:rsidR="005B18F6" w:rsidRPr="005B18F6" w:rsidRDefault="005B18F6" w:rsidP="005B18F6">
      <w:pPr>
        <w:pStyle w:val="p1a"/>
      </w:pPr>
      <w:r w:rsidRPr="005B18F6">
        <w:t>University of Coimbra</w:t>
      </w:r>
    </w:p>
    <w:p w14:paraId="0087CCA9" w14:textId="77777777" w:rsidR="005B18F6" w:rsidRPr="005B18F6" w:rsidRDefault="005B18F6" w:rsidP="005B18F6">
      <w:pPr>
        <w:pStyle w:val="p1a"/>
      </w:pPr>
      <w:proofErr w:type="spellStart"/>
      <w:r w:rsidRPr="005B18F6">
        <w:t>Pólo</w:t>
      </w:r>
      <w:proofErr w:type="spellEnd"/>
      <w:r w:rsidRPr="005B18F6">
        <w:t xml:space="preserve"> II, </w:t>
      </w:r>
      <w:proofErr w:type="spellStart"/>
      <w:r w:rsidRPr="005B18F6">
        <w:t>Pinhal</w:t>
      </w:r>
      <w:proofErr w:type="spellEnd"/>
      <w:r w:rsidRPr="005B18F6">
        <w:t xml:space="preserve"> de </w:t>
      </w:r>
      <w:proofErr w:type="spellStart"/>
      <w:r w:rsidRPr="005B18F6">
        <w:t>Marrocos</w:t>
      </w:r>
      <w:proofErr w:type="spellEnd"/>
      <w:r w:rsidRPr="005B18F6">
        <w:t>, 3030-290 Coimbra, Portugal</w:t>
      </w:r>
    </w:p>
    <w:p w14:paraId="74C3305B" w14:textId="77777777" w:rsidR="005B18F6" w:rsidRPr="005B18F6" w:rsidRDefault="005B18F6" w:rsidP="005B18F6">
      <w:pPr>
        <w:pStyle w:val="p1a"/>
      </w:pPr>
      <w:r w:rsidRPr="005B18F6">
        <w:t xml:space="preserve">e-mail: jflemos@student.dei.uc.pt </w:t>
      </w:r>
    </w:p>
    <w:p w14:paraId="7F22FF67" w14:textId="77777777" w:rsidR="005B18F6" w:rsidRPr="005B18F6" w:rsidRDefault="003C5553" w:rsidP="005B18F6">
      <w:pPr>
        <w:pStyle w:val="p1a"/>
      </w:pPr>
      <w:hyperlink r:id="rId1" w:history="1">
        <w:r w:rsidR="005B18F6" w:rsidRPr="005B18F6">
          <w:rPr>
            <w:rStyle w:val="a6"/>
          </w:rPr>
          <w:t>http://orcid.org/0000-0001-8212-3415</w:t>
        </w:r>
      </w:hyperlink>
    </w:p>
    <w:p w14:paraId="7CAD10D2" w14:textId="77777777" w:rsidR="005B18F6" w:rsidRPr="005B18F6" w:rsidRDefault="005B18F6" w:rsidP="005B18F6">
      <w:pPr>
        <w:pStyle w:val="p1a"/>
      </w:pPr>
    </w:p>
    <w:p w14:paraId="166B329D" w14:textId="77777777" w:rsidR="005B18F6" w:rsidRPr="005B18F6" w:rsidRDefault="005B18F6" w:rsidP="005B18F6">
      <w:pPr>
        <w:pStyle w:val="p1a"/>
      </w:pPr>
      <w:r w:rsidRPr="005B18F6">
        <w:t xml:space="preserve">F. Baptista </w:t>
      </w:r>
    </w:p>
    <w:p w14:paraId="29818149" w14:textId="77777777" w:rsidR="005B18F6" w:rsidRPr="005B18F6" w:rsidRDefault="005B18F6" w:rsidP="005B18F6">
      <w:pPr>
        <w:pStyle w:val="p1a"/>
      </w:pPr>
      <w:r w:rsidRPr="005B18F6">
        <w:t>University of Coimbra</w:t>
      </w:r>
    </w:p>
    <w:p w14:paraId="68499599" w14:textId="77777777" w:rsidR="005B18F6" w:rsidRPr="005B18F6" w:rsidRDefault="005B18F6" w:rsidP="005B18F6">
      <w:pPr>
        <w:pStyle w:val="p1a"/>
      </w:pPr>
      <w:proofErr w:type="spellStart"/>
      <w:r w:rsidRPr="005B18F6">
        <w:t>Pólo</w:t>
      </w:r>
      <w:proofErr w:type="spellEnd"/>
      <w:r w:rsidRPr="005B18F6">
        <w:t xml:space="preserve"> II, </w:t>
      </w:r>
      <w:proofErr w:type="spellStart"/>
      <w:r w:rsidRPr="005B18F6">
        <w:t>Pinhal</w:t>
      </w:r>
      <w:proofErr w:type="spellEnd"/>
      <w:r w:rsidRPr="005B18F6">
        <w:t xml:space="preserve"> de </w:t>
      </w:r>
      <w:proofErr w:type="spellStart"/>
      <w:r w:rsidRPr="005B18F6">
        <w:t>Marrocos</w:t>
      </w:r>
      <w:proofErr w:type="spellEnd"/>
      <w:r w:rsidRPr="005B18F6">
        <w:t>, 3030-290 Coimbra, Portugal</w:t>
      </w:r>
    </w:p>
    <w:p w14:paraId="69FD04BE" w14:textId="77777777" w:rsidR="005B18F6" w:rsidRPr="005B18F6" w:rsidRDefault="005B18F6" w:rsidP="005B18F6">
      <w:pPr>
        <w:ind w:firstLine="0"/>
      </w:pPr>
      <w:r w:rsidRPr="005B18F6">
        <w:t>e-mail: lfgb@student.dei.uc.pt</w:t>
      </w:r>
    </w:p>
    <w:p w14:paraId="2AABD806" w14:textId="77777777" w:rsidR="005B18F6" w:rsidRPr="005B18F6" w:rsidRDefault="003C5553" w:rsidP="005B18F6">
      <w:pPr>
        <w:pStyle w:val="p1a"/>
      </w:pPr>
      <w:hyperlink r:id="rId2" w:history="1">
        <w:r w:rsidR="005B18F6" w:rsidRPr="005B18F6">
          <w:rPr>
            <w:rStyle w:val="a6"/>
          </w:rPr>
          <w:t>http://orcid.org/0000-0001-8091-6753</w:t>
        </w:r>
      </w:hyperlink>
    </w:p>
    <w:p w14:paraId="1D8B2058" w14:textId="77777777" w:rsidR="005B18F6" w:rsidRPr="005B18F6" w:rsidRDefault="005B18F6" w:rsidP="005B18F6"/>
    <w:p w14:paraId="7D64925A" w14:textId="77777777" w:rsidR="005B18F6" w:rsidRPr="005B18F6" w:rsidRDefault="005B18F6" w:rsidP="005B18F6">
      <w:pPr>
        <w:pStyle w:val="p1a"/>
      </w:pPr>
      <w:r w:rsidRPr="005B18F6">
        <w:t xml:space="preserve">J. </w:t>
      </w:r>
      <w:proofErr w:type="spellStart"/>
      <w:r w:rsidRPr="005B18F6">
        <w:t>Barata</w:t>
      </w:r>
      <w:proofErr w:type="spellEnd"/>
    </w:p>
    <w:p w14:paraId="164F845A" w14:textId="77777777" w:rsidR="005B18F6" w:rsidRPr="005B18F6" w:rsidRDefault="005B18F6" w:rsidP="005B18F6">
      <w:pPr>
        <w:pStyle w:val="p1a"/>
      </w:pPr>
      <w:r w:rsidRPr="005B18F6">
        <w:t>University of Coimbra</w:t>
      </w:r>
    </w:p>
    <w:p w14:paraId="03953BB4" w14:textId="77777777" w:rsidR="005B18F6" w:rsidRPr="005B18F6" w:rsidRDefault="005B18F6" w:rsidP="005B18F6">
      <w:pPr>
        <w:pStyle w:val="p1a"/>
      </w:pPr>
      <w:proofErr w:type="spellStart"/>
      <w:r w:rsidRPr="005B18F6">
        <w:t>Pólo</w:t>
      </w:r>
      <w:proofErr w:type="spellEnd"/>
      <w:r w:rsidRPr="005B18F6">
        <w:t xml:space="preserve"> II, </w:t>
      </w:r>
      <w:proofErr w:type="spellStart"/>
      <w:r w:rsidRPr="005B18F6">
        <w:t>Pinhal</w:t>
      </w:r>
      <w:proofErr w:type="spellEnd"/>
      <w:r w:rsidRPr="005B18F6">
        <w:t xml:space="preserve"> de </w:t>
      </w:r>
      <w:proofErr w:type="spellStart"/>
      <w:r w:rsidRPr="005B18F6">
        <w:t>Marrocos</w:t>
      </w:r>
      <w:proofErr w:type="spellEnd"/>
      <w:r w:rsidRPr="005B18F6">
        <w:t>, 3030-290 Coimbra, Portugal</w:t>
      </w:r>
    </w:p>
    <w:p w14:paraId="0F20150D" w14:textId="77777777" w:rsidR="005B18F6" w:rsidRPr="005B18F6" w:rsidRDefault="005B18F6" w:rsidP="005B18F6">
      <w:pPr>
        <w:ind w:firstLine="0"/>
      </w:pPr>
      <w:r w:rsidRPr="005B18F6">
        <w:t>e-mail: barata@dei.uc.pt</w:t>
      </w:r>
    </w:p>
    <w:p w14:paraId="5CD45116" w14:textId="77777777" w:rsidR="005B18F6" w:rsidRDefault="003C5553" w:rsidP="005B18F6">
      <w:pPr>
        <w:ind w:firstLine="0"/>
      </w:pPr>
      <w:hyperlink r:id="rId3" w:history="1">
        <w:r w:rsidR="005B18F6" w:rsidRPr="005B18F6">
          <w:rPr>
            <w:rStyle w:val="a6"/>
          </w:rPr>
          <w:t>http://orcid.org/0000-0001-8091-6753</w:t>
        </w:r>
      </w:hyperlink>
      <w:r w:rsidR="005B18F6" w:rsidRPr="005B18F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FAD99" w14:textId="2F967F14" w:rsidR="0054781B" w:rsidRDefault="0054781B">
    <w:pPr>
      <w:pStyle w:val="Runninghead-left"/>
    </w:pPr>
    <w:r>
      <w:fldChar w:fldCharType="begin"/>
    </w:r>
    <w:r>
      <w:instrText xml:space="preserve"> PAGE  \* MERGEFORMAT </w:instrText>
    </w:r>
    <w:r>
      <w:fldChar w:fldCharType="separate"/>
    </w:r>
    <w:r>
      <w:rPr>
        <w:noProof/>
      </w:rPr>
      <w:t>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28ADE" w14:textId="3B95E5A0" w:rsidR="0054781B" w:rsidRDefault="0054781B">
    <w:pPr>
      <w:pStyle w:val="Runninghead-right"/>
    </w:pPr>
    <w:r>
      <w:fldChar w:fldCharType="begin"/>
    </w:r>
    <w:r>
      <w:instrText xml:space="preserve"> PAGE  \* MERGEFORMAT </w:instrText>
    </w:r>
    <w:r>
      <w:fldChar w:fldCharType="separate"/>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F24B1" w14:textId="7A5F2835" w:rsidR="00AB1002" w:rsidRDefault="00AB1002">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03021149"/>
    <w:multiLevelType w:val="multilevel"/>
    <w:tmpl w:val="F9D617A0"/>
    <w:lvl w:ilvl="0">
      <w:start w:val="1"/>
      <w:numFmt w:val="decimal"/>
      <w:lvlText w:val="%1."/>
      <w:lvlJc w:val="left"/>
      <w:pPr>
        <w:ind w:left="360" w:hanging="360"/>
      </w:pPr>
      <w:rPr>
        <w:rFonts w:ascii="Times" w:hAnsi="Times"/>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318F6FD4"/>
    <w:multiLevelType w:val="multilevel"/>
    <w:tmpl w:val="F0024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8857E1"/>
    <w:multiLevelType w:val="hybridMultilevel"/>
    <w:tmpl w:val="D8D2A084"/>
    <w:lvl w:ilvl="0" w:tplc="78F858CA">
      <w:start w:val="1"/>
      <w:numFmt w:val="decimal"/>
      <w:lvlText w:val="%1."/>
      <w:lvlJc w:val="left"/>
      <w:pPr>
        <w:ind w:left="598" w:hanging="360"/>
      </w:pPr>
      <w:rPr>
        <w:rFonts w:hint="default"/>
      </w:rPr>
    </w:lvl>
    <w:lvl w:ilvl="1" w:tplc="04190019" w:tentative="1">
      <w:start w:val="1"/>
      <w:numFmt w:val="lowerLetter"/>
      <w:lvlText w:val="%2."/>
      <w:lvlJc w:val="left"/>
      <w:pPr>
        <w:ind w:left="1318" w:hanging="360"/>
      </w:pPr>
    </w:lvl>
    <w:lvl w:ilvl="2" w:tplc="0419001B" w:tentative="1">
      <w:start w:val="1"/>
      <w:numFmt w:val="lowerRoman"/>
      <w:lvlText w:val="%3."/>
      <w:lvlJc w:val="right"/>
      <w:pPr>
        <w:ind w:left="2038" w:hanging="180"/>
      </w:pPr>
    </w:lvl>
    <w:lvl w:ilvl="3" w:tplc="0419000F" w:tentative="1">
      <w:start w:val="1"/>
      <w:numFmt w:val="decimal"/>
      <w:lvlText w:val="%4."/>
      <w:lvlJc w:val="left"/>
      <w:pPr>
        <w:ind w:left="2758" w:hanging="360"/>
      </w:pPr>
    </w:lvl>
    <w:lvl w:ilvl="4" w:tplc="04190019" w:tentative="1">
      <w:start w:val="1"/>
      <w:numFmt w:val="lowerLetter"/>
      <w:lvlText w:val="%5."/>
      <w:lvlJc w:val="left"/>
      <w:pPr>
        <w:ind w:left="3478" w:hanging="360"/>
      </w:pPr>
    </w:lvl>
    <w:lvl w:ilvl="5" w:tplc="0419001B" w:tentative="1">
      <w:start w:val="1"/>
      <w:numFmt w:val="lowerRoman"/>
      <w:lvlText w:val="%6."/>
      <w:lvlJc w:val="right"/>
      <w:pPr>
        <w:ind w:left="4198" w:hanging="180"/>
      </w:pPr>
    </w:lvl>
    <w:lvl w:ilvl="6" w:tplc="0419000F" w:tentative="1">
      <w:start w:val="1"/>
      <w:numFmt w:val="decimal"/>
      <w:lvlText w:val="%7."/>
      <w:lvlJc w:val="left"/>
      <w:pPr>
        <w:ind w:left="4918" w:hanging="360"/>
      </w:pPr>
    </w:lvl>
    <w:lvl w:ilvl="7" w:tplc="04190019" w:tentative="1">
      <w:start w:val="1"/>
      <w:numFmt w:val="lowerLetter"/>
      <w:lvlText w:val="%8."/>
      <w:lvlJc w:val="left"/>
      <w:pPr>
        <w:ind w:left="5638" w:hanging="360"/>
      </w:pPr>
    </w:lvl>
    <w:lvl w:ilvl="8" w:tplc="0419001B" w:tentative="1">
      <w:start w:val="1"/>
      <w:numFmt w:val="lowerRoman"/>
      <w:lvlText w:val="%9."/>
      <w:lvlJc w:val="right"/>
      <w:pPr>
        <w:ind w:left="6358" w:hanging="180"/>
      </w:pPr>
    </w:lvl>
  </w:abstractNum>
  <w:abstractNum w:abstractNumId="12" w15:restartNumberingAfterBreak="0">
    <w:nsid w:val="6DD018B9"/>
    <w:multiLevelType w:val="multilevel"/>
    <w:tmpl w:val="F9D617A0"/>
    <w:numStyleLink w:val="Olist"/>
  </w:abstractNum>
  <w:abstractNum w:abstractNumId="13" w15:restartNumberingAfterBreak="0">
    <w:nsid w:val="751B6F4C"/>
    <w:multiLevelType w:val="hybridMultilevel"/>
    <w:tmpl w:val="FF82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5" w15:restartNumberingAfterBreak="0">
    <w:nsid w:val="7A705B7D"/>
    <w:multiLevelType w:val="multilevel"/>
    <w:tmpl w:val="4009001D"/>
    <w:numStyleLink w:val="Ulistt"/>
  </w:abstractNum>
  <w:abstractNum w:abstractNumId="16" w15:restartNumberingAfterBreak="0">
    <w:nsid w:val="7AD34461"/>
    <w:multiLevelType w:val="multilevel"/>
    <w:tmpl w:val="9A985178"/>
    <w:numStyleLink w:val="UList"/>
  </w:abstractNum>
  <w:abstractNum w:abstractNumId="1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4"/>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7"/>
  </w:num>
  <w:num w:numId="8">
    <w:abstractNumId w:val="5"/>
  </w:num>
  <w:num w:numId="9">
    <w:abstractNumId w:val="3"/>
  </w:num>
  <w:num w:numId="10">
    <w:abstractNumId w:val="17"/>
  </w:num>
  <w:num w:numId="11">
    <w:abstractNumId w:val="10"/>
  </w:num>
  <w:num w:numId="12">
    <w:abstractNumId w:val="0"/>
  </w:num>
  <w:num w:numId="13">
    <w:abstractNumId w:val="10"/>
  </w:num>
  <w:num w:numId="14">
    <w:abstractNumId w:val="0"/>
  </w:num>
  <w:num w:numId="15">
    <w:abstractNumId w:val="0"/>
  </w:num>
  <w:num w:numId="16">
    <w:abstractNumId w:val="10"/>
  </w:num>
  <w:num w:numId="17">
    <w:abstractNumId w:val="0"/>
  </w:num>
  <w:num w:numId="18">
    <w:abstractNumId w:val="0"/>
  </w:num>
  <w:num w:numId="19">
    <w:abstractNumId w:val="17"/>
  </w:num>
  <w:num w:numId="20">
    <w:abstractNumId w:val="17"/>
  </w:num>
  <w:num w:numId="21">
    <w:abstractNumId w:val="17"/>
  </w:num>
  <w:num w:numId="22">
    <w:abstractNumId w:val="4"/>
  </w:num>
  <w:num w:numId="23">
    <w:abstractNumId w:val="4"/>
  </w:num>
  <w:num w:numId="24">
    <w:abstractNumId w:val="4"/>
  </w:num>
  <w:num w:numId="25">
    <w:abstractNumId w:val="4"/>
  </w:num>
  <w:num w:numId="26">
    <w:abstractNumId w:val="8"/>
  </w:num>
  <w:num w:numId="27">
    <w:abstractNumId w:val="12"/>
  </w:num>
  <w:num w:numId="28">
    <w:abstractNumId w:val="9"/>
  </w:num>
  <w:num w:numId="29">
    <w:abstractNumId w:val="16"/>
  </w:num>
  <w:num w:numId="30">
    <w:abstractNumId w:val="7"/>
  </w:num>
  <w:num w:numId="31">
    <w:abstractNumId w:val="15"/>
  </w:num>
  <w:num w:numId="32">
    <w:abstractNumId w:val="13"/>
  </w:num>
  <w:num w:numId="33">
    <w:abstractNumId w:val="2"/>
  </w:num>
  <w:num w:numId="34">
    <w:abstractNumId w:val="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8F6"/>
    <w:rsid w:val="00001F6D"/>
    <w:rsid w:val="00005770"/>
    <w:rsid w:val="00005F1B"/>
    <w:rsid w:val="00016363"/>
    <w:rsid w:val="0002006A"/>
    <w:rsid w:val="000238C5"/>
    <w:rsid w:val="00025071"/>
    <w:rsid w:val="000269D1"/>
    <w:rsid w:val="00036A4C"/>
    <w:rsid w:val="0004454D"/>
    <w:rsid w:val="00044A53"/>
    <w:rsid w:val="00046A35"/>
    <w:rsid w:val="0005714D"/>
    <w:rsid w:val="0006222E"/>
    <w:rsid w:val="0006277C"/>
    <w:rsid w:val="00064F80"/>
    <w:rsid w:val="00065107"/>
    <w:rsid w:val="00067C65"/>
    <w:rsid w:val="00070E77"/>
    <w:rsid w:val="00082D3C"/>
    <w:rsid w:val="000973AB"/>
    <w:rsid w:val="00097BDA"/>
    <w:rsid w:val="000A4E0B"/>
    <w:rsid w:val="000B0C50"/>
    <w:rsid w:val="000B37BD"/>
    <w:rsid w:val="000B48B4"/>
    <w:rsid w:val="000B678C"/>
    <w:rsid w:val="000C3FEB"/>
    <w:rsid w:val="000E0820"/>
    <w:rsid w:val="000F0964"/>
    <w:rsid w:val="000F4B91"/>
    <w:rsid w:val="000F71AB"/>
    <w:rsid w:val="0010061C"/>
    <w:rsid w:val="0010363B"/>
    <w:rsid w:val="00103A73"/>
    <w:rsid w:val="00107526"/>
    <w:rsid w:val="00112416"/>
    <w:rsid w:val="00113A6E"/>
    <w:rsid w:val="00121B82"/>
    <w:rsid w:val="001278DD"/>
    <w:rsid w:val="00130C3E"/>
    <w:rsid w:val="00134414"/>
    <w:rsid w:val="0013777B"/>
    <w:rsid w:val="00140191"/>
    <w:rsid w:val="00140562"/>
    <w:rsid w:val="0014105E"/>
    <w:rsid w:val="0015536C"/>
    <w:rsid w:val="00160B0C"/>
    <w:rsid w:val="001616DF"/>
    <w:rsid w:val="00162FF3"/>
    <w:rsid w:val="00163114"/>
    <w:rsid w:val="001709D2"/>
    <w:rsid w:val="00170DEC"/>
    <w:rsid w:val="001773C8"/>
    <w:rsid w:val="001825DE"/>
    <w:rsid w:val="001A406D"/>
    <w:rsid w:val="001B41A1"/>
    <w:rsid w:val="001B5AA2"/>
    <w:rsid w:val="001B7DA3"/>
    <w:rsid w:val="001C4E8D"/>
    <w:rsid w:val="001C6111"/>
    <w:rsid w:val="001C770A"/>
    <w:rsid w:val="001D0B49"/>
    <w:rsid w:val="001D73DE"/>
    <w:rsid w:val="001D76F2"/>
    <w:rsid w:val="001E48B1"/>
    <w:rsid w:val="001F49E4"/>
    <w:rsid w:val="001F7425"/>
    <w:rsid w:val="001F7FCE"/>
    <w:rsid w:val="002015A6"/>
    <w:rsid w:val="002023E1"/>
    <w:rsid w:val="002074D8"/>
    <w:rsid w:val="00210E0A"/>
    <w:rsid w:val="00220A07"/>
    <w:rsid w:val="00221AB2"/>
    <w:rsid w:val="00226F60"/>
    <w:rsid w:val="00230396"/>
    <w:rsid w:val="0023069E"/>
    <w:rsid w:val="002322FA"/>
    <w:rsid w:val="0023268C"/>
    <w:rsid w:val="0023519A"/>
    <w:rsid w:val="00236209"/>
    <w:rsid w:val="00243465"/>
    <w:rsid w:val="00247157"/>
    <w:rsid w:val="002539B7"/>
    <w:rsid w:val="00254BEA"/>
    <w:rsid w:val="002565A2"/>
    <w:rsid w:val="00256CAC"/>
    <w:rsid w:val="00265C68"/>
    <w:rsid w:val="00265F37"/>
    <w:rsid w:val="002724A6"/>
    <w:rsid w:val="00277107"/>
    <w:rsid w:val="00280395"/>
    <w:rsid w:val="002806EF"/>
    <w:rsid w:val="0028211B"/>
    <w:rsid w:val="002840CD"/>
    <w:rsid w:val="00286C2F"/>
    <w:rsid w:val="00290CA6"/>
    <w:rsid w:val="002A735C"/>
    <w:rsid w:val="002A7F2F"/>
    <w:rsid w:val="002B58D1"/>
    <w:rsid w:val="002C03D8"/>
    <w:rsid w:val="002C16AE"/>
    <w:rsid w:val="002C4BB8"/>
    <w:rsid w:val="002C53B5"/>
    <w:rsid w:val="002D4AB9"/>
    <w:rsid w:val="002D5F35"/>
    <w:rsid w:val="002D783B"/>
    <w:rsid w:val="002E0DA4"/>
    <w:rsid w:val="002E308B"/>
    <w:rsid w:val="002E52B2"/>
    <w:rsid w:val="002F1E77"/>
    <w:rsid w:val="002F2934"/>
    <w:rsid w:val="002F7B19"/>
    <w:rsid w:val="00300797"/>
    <w:rsid w:val="003029CB"/>
    <w:rsid w:val="00307FF7"/>
    <w:rsid w:val="0031018F"/>
    <w:rsid w:val="003150BE"/>
    <w:rsid w:val="0032436B"/>
    <w:rsid w:val="00347E63"/>
    <w:rsid w:val="00356EED"/>
    <w:rsid w:val="00360A7A"/>
    <w:rsid w:val="00360E7F"/>
    <w:rsid w:val="00360EC6"/>
    <w:rsid w:val="00367344"/>
    <w:rsid w:val="00376FC4"/>
    <w:rsid w:val="00392B2C"/>
    <w:rsid w:val="00395CB8"/>
    <w:rsid w:val="00395F19"/>
    <w:rsid w:val="003A0D8A"/>
    <w:rsid w:val="003B14B8"/>
    <w:rsid w:val="003B5750"/>
    <w:rsid w:val="003C0833"/>
    <w:rsid w:val="003C5553"/>
    <w:rsid w:val="003D3DCB"/>
    <w:rsid w:val="003E218B"/>
    <w:rsid w:val="003E2D8A"/>
    <w:rsid w:val="003E498E"/>
    <w:rsid w:val="003F35C1"/>
    <w:rsid w:val="003F644C"/>
    <w:rsid w:val="00405E55"/>
    <w:rsid w:val="004062F8"/>
    <w:rsid w:val="00410267"/>
    <w:rsid w:val="004107AE"/>
    <w:rsid w:val="00412F94"/>
    <w:rsid w:val="00415263"/>
    <w:rsid w:val="00425BA6"/>
    <w:rsid w:val="00433E14"/>
    <w:rsid w:val="00441175"/>
    <w:rsid w:val="00444132"/>
    <w:rsid w:val="0044729D"/>
    <w:rsid w:val="004509DE"/>
    <w:rsid w:val="004552DA"/>
    <w:rsid w:val="00460578"/>
    <w:rsid w:val="0046154C"/>
    <w:rsid w:val="00461EF7"/>
    <w:rsid w:val="00471474"/>
    <w:rsid w:val="00485577"/>
    <w:rsid w:val="00493C8D"/>
    <w:rsid w:val="004A0CD5"/>
    <w:rsid w:val="004A61BA"/>
    <w:rsid w:val="004A6581"/>
    <w:rsid w:val="004A660C"/>
    <w:rsid w:val="004A677A"/>
    <w:rsid w:val="004A757B"/>
    <w:rsid w:val="004B7981"/>
    <w:rsid w:val="004C1F08"/>
    <w:rsid w:val="004C3B58"/>
    <w:rsid w:val="004E37BB"/>
    <w:rsid w:val="004F02F8"/>
    <w:rsid w:val="004F12B1"/>
    <w:rsid w:val="0050352D"/>
    <w:rsid w:val="005070BD"/>
    <w:rsid w:val="00514AD6"/>
    <w:rsid w:val="00514C6D"/>
    <w:rsid w:val="005205FB"/>
    <w:rsid w:val="00520B4A"/>
    <w:rsid w:val="005308AA"/>
    <w:rsid w:val="00532667"/>
    <w:rsid w:val="005335DE"/>
    <w:rsid w:val="0054339A"/>
    <w:rsid w:val="0054444A"/>
    <w:rsid w:val="00544A38"/>
    <w:rsid w:val="0054625A"/>
    <w:rsid w:val="0054781B"/>
    <w:rsid w:val="00563164"/>
    <w:rsid w:val="005651DC"/>
    <w:rsid w:val="005711A5"/>
    <w:rsid w:val="00571A77"/>
    <w:rsid w:val="005810C8"/>
    <w:rsid w:val="00583E41"/>
    <w:rsid w:val="005855A6"/>
    <w:rsid w:val="00585AA4"/>
    <w:rsid w:val="00590795"/>
    <w:rsid w:val="00592500"/>
    <w:rsid w:val="005935D3"/>
    <w:rsid w:val="00593600"/>
    <w:rsid w:val="00594390"/>
    <w:rsid w:val="005A08CC"/>
    <w:rsid w:val="005A41EF"/>
    <w:rsid w:val="005B18F6"/>
    <w:rsid w:val="005D2374"/>
    <w:rsid w:val="005E1A2A"/>
    <w:rsid w:val="005E1A39"/>
    <w:rsid w:val="005E615E"/>
    <w:rsid w:val="005E65F0"/>
    <w:rsid w:val="006067FD"/>
    <w:rsid w:val="006139F1"/>
    <w:rsid w:val="0061547A"/>
    <w:rsid w:val="00624B63"/>
    <w:rsid w:val="006259ED"/>
    <w:rsid w:val="00631C9D"/>
    <w:rsid w:val="00641998"/>
    <w:rsid w:val="0064479C"/>
    <w:rsid w:val="006458D3"/>
    <w:rsid w:val="006535F0"/>
    <w:rsid w:val="006536E1"/>
    <w:rsid w:val="00657673"/>
    <w:rsid w:val="00657C3F"/>
    <w:rsid w:val="006620E7"/>
    <w:rsid w:val="006623A5"/>
    <w:rsid w:val="00665A01"/>
    <w:rsid w:val="00677174"/>
    <w:rsid w:val="006775E7"/>
    <w:rsid w:val="00680383"/>
    <w:rsid w:val="006829A3"/>
    <w:rsid w:val="00682E50"/>
    <w:rsid w:val="00685FBC"/>
    <w:rsid w:val="00687133"/>
    <w:rsid w:val="00691F67"/>
    <w:rsid w:val="00695AA6"/>
    <w:rsid w:val="006A06EF"/>
    <w:rsid w:val="006A574A"/>
    <w:rsid w:val="006A7CD2"/>
    <w:rsid w:val="006B42F4"/>
    <w:rsid w:val="006D0E90"/>
    <w:rsid w:val="006D19A8"/>
    <w:rsid w:val="006D36F2"/>
    <w:rsid w:val="006D6414"/>
    <w:rsid w:val="006E29A2"/>
    <w:rsid w:val="006E3B89"/>
    <w:rsid w:val="006E723D"/>
    <w:rsid w:val="006F6F1A"/>
    <w:rsid w:val="007052E2"/>
    <w:rsid w:val="00714B1E"/>
    <w:rsid w:val="00717E6D"/>
    <w:rsid w:val="00722F8A"/>
    <w:rsid w:val="00723352"/>
    <w:rsid w:val="00731823"/>
    <w:rsid w:val="00733209"/>
    <w:rsid w:val="00734AE5"/>
    <w:rsid w:val="00741D73"/>
    <w:rsid w:val="007439DF"/>
    <w:rsid w:val="00750D70"/>
    <w:rsid w:val="00754DE7"/>
    <w:rsid w:val="00757585"/>
    <w:rsid w:val="00767327"/>
    <w:rsid w:val="00772BBE"/>
    <w:rsid w:val="0077516C"/>
    <w:rsid w:val="00791BDF"/>
    <w:rsid w:val="00792DC2"/>
    <w:rsid w:val="007960E8"/>
    <w:rsid w:val="007968AF"/>
    <w:rsid w:val="007A239D"/>
    <w:rsid w:val="007A2AD6"/>
    <w:rsid w:val="007A7EBC"/>
    <w:rsid w:val="007A7FF2"/>
    <w:rsid w:val="007B0C10"/>
    <w:rsid w:val="007C4E98"/>
    <w:rsid w:val="007E3042"/>
    <w:rsid w:val="007E556A"/>
    <w:rsid w:val="007F1367"/>
    <w:rsid w:val="0080187B"/>
    <w:rsid w:val="00805520"/>
    <w:rsid w:val="00806839"/>
    <w:rsid w:val="00806BB2"/>
    <w:rsid w:val="0081006B"/>
    <w:rsid w:val="0081063C"/>
    <w:rsid w:val="008210B3"/>
    <w:rsid w:val="0082515C"/>
    <w:rsid w:val="00825756"/>
    <w:rsid w:val="0083037A"/>
    <w:rsid w:val="00841A5B"/>
    <w:rsid w:val="008516F9"/>
    <w:rsid w:val="008603F5"/>
    <w:rsid w:val="00862893"/>
    <w:rsid w:val="008662CD"/>
    <w:rsid w:val="00881B1C"/>
    <w:rsid w:val="00884D14"/>
    <w:rsid w:val="00894BC5"/>
    <w:rsid w:val="00894F68"/>
    <w:rsid w:val="008B4D24"/>
    <w:rsid w:val="008B59C5"/>
    <w:rsid w:val="008B5F02"/>
    <w:rsid w:val="008C0390"/>
    <w:rsid w:val="008C292A"/>
    <w:rsid w:val="008C62FE"/>
    <w:rsid w:val="008D4645"/>
    <w:rsid w:val="008D46CA"/>
    <w:rsid w:val="008E153C"/>
    <w:rsid w:val="008E2B14"/>
    <w:rsid w:val="008E6687"/>
    <w:rsid w:val="008F5DA9"/>
    <w:rsid w:val="008F5FC8"/>
    <w:rsid w:val="0090137C"/>
    <w:rsid w:val="0090334B"/>
    <w:rsid w:val="0091061C"/>
    <w:rsid w:val="00914C89"/>
    <w:rsid w:val="009222A7"/>
    <w:rsid w:val="009326B2"/>
    <w:rsid w:val="0093679A"/>
    <w:rsid w:val="00936819"/>
    <w:rsid w:val="00942908"/>
    <w:rsid w:val="009437C7"/>
    <w:rsid w:val="00952BA5"/>
    <w:rsid w:val="00954D64"/>
    <w:rsid w:val="00956DE4"/>
    <w:rsid w:val="009608DD"/>
    <w:rsid w:val="00962D89"/>
    <w:rsid w:val="00967B76"/>
    <w:rsid w:val="00972927"/>
    <w:rsid w:val="00976926"/>
    <w:rsid w:val="00981089"/>
    <w:rsid w:val="00981CB1"/>
    <w:rsid w:val="0098460E"/>
    <w:rsid w:val="00987CD0"/>
    <w:rsid w:val="00991F35"/>
    <w:rsid w:val="00995BA3"/>
    <w:rsid w:val="009960F7"/>
    <w:rsid w:val="00997A56"/>
    <w:rsid w:val="009A5235"/>
    <w:rsid w:val="009A7015"/>
    <w:rsid w:val="009B15D6"/>
    <w:rsid w:val="009D04DB"/>
    <w:rsid w:val="009D7533"/>
    <w:rsid w:val="00A03A43"/>
    <w:rsid w:val="00A04C0F"/>
    <w:rsid w:val="00A1344F"/>
    <w:rsid w:val="00A340AE"/>
    <w:rsid w:val="00A34351"/>
    <w:rsid w:val="00A35E00"/>
    <w:rsid w:val="00A36354"/>
    <w:rsid w:val="00A43C77"/>
    <w:rsid w:val="00A45036"/>
    <w:rsid w:val="00A55A4B"/>
    <w:rsid w:val="00A5745E"/>
    <w:rsid w:val="00A6008A"/>
    <w:rsid w:val="00A60EC9"/>
    <w:rsid w:val="00A64714"/>
    <w:rsid w:val="00A7006D"/>
    <w:rsid w:val="00A72563"/>
    <w:rsid w:val="00A73A4E"/>
    <w:rsid w:val="00A7493D"/>
    <w:rsid w:val="00A75149"/>
    <w:rsid w:val="00A77145"/>
    <w:rsid w:val="00A84354"/>
    <w:rsid w:val="00A86683"/>
    <w:rsid w:val="00AB1002"/>
    <w:rsid w:val="00AB3751"/>
    <w:rsid w:val="00AB686D"/>
    <w:rsid w:val="00AB750D"/>
    <w:rsid w:val="00AC078B"/>
    <w:rsid w:val="00AC38BA"/>
    <w:rsid w:val="00AC40CD"/>
    <w:rsid w:val="00AC4279"/>
    <w:rsid w:val="00AD21BF"/>
    <w:rsid w:val="00AD6259"/>
    <w:rsid w:val="00AE37D9"/>
    <w:rsid w:val="00AE6DD8"/>
    <w:rsid w:val="00AE793A"/>
    <w:rsid w:val="00AE7B17"/>
    <w:rsid w:val="00AF0FAC"/>
    <w:rsid w:val="00AF2132"/>
    <w:rsid w:val="00AF37E5"/>
    <w:rsid w:val="00AF4B97"/>
    <w:rsid w:val="00AF538D"/>
    <w:rsid w:val="00B065E8"/>
    <w:rsid w:val="00B14342"/>
    <w:rsid w:val="00B156E1"/>
    <w:rsid w:val="00B1617C"/>
    <w:rsid w:val="00B303F3"/>
    <w:rsid w:val="00B30AFD"/>
    <w:rsid w:val="00B33611"/>
    <w:rsid w:val="00B34BCB"/>
    <w:rsid w:val="00B50AD9"/>
    <w:rsid w:val="00B5108A"/>
    <w:rsid w:val="00B53AB6"/>
    <w:rsid w:val="00B5459D"/>
    <w:rsid w:val="00B61139"/>
    <w:rsid w:val="00B6258D"/>
    <w:rsid w:val="00B62B09"/>
    <w:rsid w:val="00B62F1E"/>
    <w:rsid w:val="00B63A1D"/>
    <w:rsid w:val="00B7358A"/>
    <w:rsid w:val="00B754DA"/>
    <w:rsid w:val="00B8016F"/>
    <w:rsid w:val="00B834DE"/>
    <w:rsid w:val="00B851F8"/>
    <w:rsid w:val="00B93DC4"/>
    <w:rsid w:val="00B94B12"/>
    <w:rsid w:val="00B97ED3"/>
    <w:rsid w:val="00BA03E6"/>
    <w:rsid w:val="00BA2801"/>
    <w:rsid w:val="00BA520A"/>
    <w:rsid w:val="00BC08C9"/>
    <w:rsid w:val="00BC4BDF"/>
    <w:rsid w:val="00BC6569"/>
    <w:rsid w:val="00BD2088"/>
    <w:rsid w:val="00BD3DBF"/>
    <w:rsid w:val="00BD45AA"/>
    <w:rsid w:val="00BD7C36"/>
    <w:rsid w:val="00BF2C5E"/>
    <w:rsid w:val="00BF3B55"/>
    <w:rsid w:val="00BF41B3"/>
    <w:rsid w:val="00BF7B58"/>
    <w:rsid w:val="00C05CF6"/>
    <w:rsid w:val="00C10D9E"/>
    <w:rsid w:val="00C22245"/>
    <w:rsid w:val="00C234A7"/>
    <w:rsid w:val="00C25F47"/>
    <w:rsid w:val="00C34815"/>
    <w:rsid w:val="00C425C5"/>
    <w:rsid w:val="00C53577"/>
    <w:rsid w:val="00C54E72"/>
    <w:rsid w:val="00C6212D"/>
    <w:rsid w:val="00C67839"/>
    <w:rsid w:val="00C72035"/>
    <w:rsid w:val="00C7344F"/>
    <w:rsid w:val="00C754E3"/>
    <w:rsid w:val="00C90393"/>
    <w:rsid w:val="00C916BC"/>
    <w:rsid w:val="00C921ED"/>
    <w:rsid w:val="00C95829"/>
    <w:rsid w:val="00C9597D"/>
    <w:rsid w:val="00C97F5F"/>
    <w:rsid w:val="00CA07AB"/>
    <w:rsid w:val="00CB226C"/>
    <w:rsid w:val="00CB3A55"/>
    <w:rsid w:val="00CC0309"/>
    <w:rsid w:val="00CC56B9"/>
    <w:rsid w:val="00CC58BE"/>
    <w:rsid w:val="00CC5C79"/>
    <w:rsid w:val="00CD0373"/>
    <w:rsid w:val="00CD12B6"/>
    <w:rsid w:val="00CD3718"/>
    <w:rsid w:val="00CD548C"/>
    <w:rsid w:val="00CD5986"/>
    <w:rsid w:val="00CE47BD"/>
    <w:rsid w:val="00CF7579"/>
    <w:rsid w:val="00D03956"/>
    <w:rsid w:val="00D07E97"/>
    <w:rsid w:val="00D13675"/>
    <w:rsid w:val="00D144F7"/>
    <w:rsid w:val="00D228FC"/>
    <w:rsid w:val="00D25549"/>
    <w:rsid w:val="00D27CCD"/>
    <w:rsid w:val="00D4266B"/>
    <w:rsid w:val="00D471F2"/>
    <w:rsid w:val="00D4758B"/>
    <w:rsid w:val="00D51CF6"/>
    <w:rsid w:val="00D52D3D"/>
    <w:rsid w:val="00D54403"/>
    <w:rsid w:val="00D5729C"/>
    <w:rsid w:val="00D648B7"/>
    <w:rsid w:val="00D7114A"/>
    <w:rsid w:val="00D7333E"/>
    <w:rsid w:val="00D75B48"/>
    <w:rsid w:val="00D80985"/>
    <w:rsid w:val="00D82C1A"/>
    <w:rsid w:val="00D85A66"/>
    <w:rsid w:val="00D90CE0"/>
    <w:rsid w:val="00D9108F"/>
    <w:rsid w:val="00D923BC"/>
    <w:rsid w:val="00DA077C"/>
    <w:rsid w:val="00DB6263"/>
    <w:rsid w:val="00DB6A79"/>
    <w:rsid w:val="00DC05FD"/>
    <w:rsid w:val="00DC71DB"/>
    <w:rsid w:val="00DD25F8"/>
    <w:rsid w:val="00DD2B67"/>
    <w:rsid w:val="00DD493F"/>
    <w:rsid w:val="00DD6124"/>
    <w:rsid w:val="00DE61AD"/>
    <w:rsid w:val="00DE7D57"/>
    <w:rsid w:val="00DF0687"/>
    <w:rsid w:val="00DF2232"/>
    <w:rsid w:val="00DF7FDB"/>
    <w:rsid w:val="00E03BA8"/>
    <w:rsid w:val="00E07CBA"/>
    <w:rsid w:val="00E15E88"/>
    <w:rsid w:val="00E3179E"/>
    <w:rsid w:val="00E34F70"/>
    <w:rsid w:val="00E359E3"/>
    <w:rsid w:val="00E35DEA"/>
    <w:rsid w:val="00E51DB0"/>
    <w:rsid w:val="00E56140"/>
    <w:rsid w:val="00E60976"/>
    <w:rsid w:val="00E6578B"/>
    <w:rsid w:val="00E90F27"/>
    <w:rsid w:val="00E97029"/>
    <w:rsid w:val="00EA398E"/>
    <w:rsid w:val="00EA44D1"/>
    <w:rsid w:val="00EB2507"/>
    <w:rsid w:val="00EB6306"/>
    <w:rsid w:val="00EB7A5D"/>
    <w:rsid w:val="00ED2ABB"/>
    <w:rsid w:val="00ED49CF"/>
    <w:rsid w:val="00ED61EB"/>
    <w:rsid w:val="00ED6CDE"/>
    <w:rsid w:val="00ED7504"/>
    <w:rsid w:val="00EE1AED"/>
    <w:rsid w:val="00EE48A5"/>
    <w:rsid w:val="00EE79AD"/>
    <w:rsid w:val="00EF1AD8"/>
    <w:rsid w:val="00F005F1"/>
    <w:rsid w:val="00F04559"/>
    <w:rsid w:val="00F07144"/>
    <w:rsid w:val="00F07547"/>
    <w:rsid w:val="00F126E4"/>
    <w:rsid w:val="00F25116"/>
    <w:rsid w:val="00F32869"/>
    <w:rsid w:val="00F33A86"/>
    <w:rsid w:val="00F359C1"/>
    <w:rsid w:val="00F35C4A"/>
    <w:rsid w:val="00F35D7D"/>
    <w:rsid w:val="00F4632F"/>
    <w:rsid w:val="00F515F0"/>
    <w:rsid w:val="00F51880"/>
    <w:rsid w:val="00F53C54"/>
    <w:rsid w:val="00F575FC"/>
    <w:rsid w:val="00F62454"/>
    <w:rsid w:val="00F651A0"/>
    <w:rsid w:val="00F651DF"/>
    <w:rsid w:val="00F677F6"/>
    <w:rsid w:val="00F70404"/>
    <w:rsid w:val="00F70D2A"/>
    <w:rsid w:val="00F71D38"/>
    <w:rsid w:val="00F75922"/>
    <w:rsid w:val="00F75C29"/>
    <w:rsid w:val="00F81FEB"/>
    <w:rsid w:val="00F843DC"/>
    <w:rsid w:val="00F9038B"/>
    <w:rsid w:val="00F9297F"/>
    <w:rsid w:val="00F9309A"/>
    <w:rsid w:val="00F949DF"/>
    <w:rsid w:val="00F958D7"/>
    <w:rsid w:val="00F9665F"/>
    <w:rsid w:val="00F9694B"/>
    <w:rsid w:val="00FA030E"/>
    <w:rsid w:val="00FA35BC"/>
    <w:rsid w:val="00FA3D52"/>
    <w:rsid w:val="00FB5663"/>
    <w:rsid w:val="00FC1CA2"/>
    <w:rsid w:val="00FC5716"/>
    <w:rsid w:val="00FC74FD"/>
    <w:rsid w:val="00FE12D7"/>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FF987"/>
  <w15:docId w15:val="{7D43F222-9201-4594-9B7D-5DFF58C5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1">
    <w:name w:val="heading 1"/>
    <w:basedOn w:val="a"/>
    <w:next w:val="a"/>
    <w:pPr>
      <w:keepNext/>
      <w:spacing w:after="240"/>
      <w:outlineLvl w:val="0"/>
    </w:pPr>
    <w:rPr>
      <w:rFonts w:ascii="Arial" w:hAnsi="Arial"/>
      <w:b/>
      <w:bCs/>
      <w:sz w:val="28"/>
      <w:szCs w:val="24"/>
    </w:rPr>
  </w:style>
  <w:style w:type="paragraph" w:styleId="2">
    <w:name w:val="heading 2"/>
    <w:basedOn w:val="a"/>
    <w:next w:val="a"/>
    <w:pPr>
      <w:keepNext/>
      <w:spacing w:before="240" w:after="120"/>
      <w:outlineLvl w:val="1"/>
    </w:pPr>
    <w:rPr>
      <w:rFonts w:ascii="Arial" w:hAnsi="Arial"/>
      <w:b/>
    </w:rPr>
  </w:style>
  <w:style w:type="paragraph" w:styleId="3">
    <w:name w:val="heading 3"/>
    <w:basedOn w:val="a"/>
    <w:next w:val="a"/>
    <w:pPr>
      <w:keepNext/>
      <w:spacing w:before="180" w:after="120"/>
      <w:outlineLvl w:val="2"/>
    </w:pPr>
    <w:rPr>
      <w:rFonts w:ascii="Arial" w:hAnsi="Arial"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A60EC9"/>
    <w:pPr>
      <w:suppressAutoHyphens/>
      <w:spacing w:before="240" w:after="24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D54403"/>
    <w:pPr>
      <w:tabs>
        <w:tab w:val="center" w:pos="3204"/>
        <w:tab w:val="right" w:pos="6634"/>
      </w:tabs>
      <w:spacing w:before="480" w:after="480"/>
      <w:ind w:firstLine="0"/>
      <w:jc w:val="left"/>
    </w:pPr>
  </w:style>
  <w:style w:type="paragraph" w:customStyle="1" w:styleId="fignotes">
    <w:name w:val="fignotes"/>
    <w:basedOn w:val="a"/>
    <w:next w:val="a"/>
    <w:rsid w:val="00D52D3D"/>
    <w:pPr>
      <w:keepLines/>
      <w:spacing w:before="120" w:after="240" w:line="200" w:lineRule="atLeast"/>
      <w:ind w:firstLine="0"/>
    </w:pPr>
    <w:rPr>
      <w:sz w:val="17"/>
    </w:rPr>
  </w:style>
  <w:style w:type="character" w:styleId="a4">
    <w:name w:val="footnote reference"/>
    <w:semiHidden/>
    <w:rPr>
      <w:position w:val="6"/>
      <w:sz w:val="12"/>
      <w:vertAlign w:val="baseline"/>
    </w:rPr>
  </w:style>
  <w:style w:type="paragraph" w:customStyle="1" w:styleId="heading1">
    <w:name w:val="heading1"/>
    <w:basedOn w:val="a"/>
    <w:next w:val="noindentpara"/>
    <w:rsid w:val="00F9665F"/>
    <w:pPr>
      <w:keepNext/>
      <w:keepLines/>
      <w:tabs>
        <w:tab w:val="left" w:pos="454"/>
      </w:tabs>
      <w:suppressAutoHyphens/>
      <w:spacing w:before="720" w:after="480" w:line="280" w:lineRule="atLeast"/>
      <w:ind w:firstLine="0"/>
      <w:jc w:val="left"/>
      <w:outlineLvl w:val="0"/>
    </w:pPr>
    <w:rPr>
      <w:b/>
      <w:sz w:val="24"/>
    </w:rPr>
  </w:style>
  <w:style w:type="paragraph" w:customStyle="1" w:styleId="heading2">
    <w:name w:val="heading2"/>
    <w:basedOn w:val="heading1"/>
    <w:next w:val="noindentpara"/>
    <w:rsid w:val="00F9665F"/>
    <w:pPr>
      <w:tabs>
        <w:tab w:val="left" w:pos="510"/>
      </w:tabs>
      <w:outlineLvl w:val="1"/>
    </w:pPr>
    <w:rPr>
      <w:i/>
    </w:rPr>
  </w:style>
  <w:style w:type="paragraph" w:customStyle="1" w:styleId="heading3">
    <w:name w:val="heading3"/>
    <w:basedOn w:val="a"/>
    <w:next w:val="noindentpara"/>
    <w:rsid w:val="00F9665F"/>
    <w:pPr>
      <w:tabs>
        <w:tab w:val="left" w:pos="284"/>
      </w:tabs>
      <w:suppressAutoHyphens/>
      <w:spacing w:before="480" w:after="240"/>
      <w:ind w:firstLine="0"/>
      <w:jc w:val="left"/>
      <w:outlineLvl w:val="2"/>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a"/>
    <w:rsid w:val="00EA44D1"/>
    <w:pPr>
      <w:numPr>
        <w:numId w:val="25"/>
      </w:numPr>
      <w:spacing w:before="120" w:after="120"/>
      <w:contextualSpacing/>
    </w:p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a"/>
    <w:rsid w:val="00A03A43"/>
    <w:pPr>
      <w:shd w:val="clear" w:color="auto" w:fill="D9D9D9"/>
      <w:spacing w:before="240" w:after="240"/>
      <w:ind w:left="238" w:right="238" w:firstLine="0"/>
      <w:contextualSpacing/>
    </w:pPr>
  </w:style>
  <w:style w:type="paragraph" w:customStyle="1" w:styleId="tablelegend">
    <w:name w:val="tablelegend"/>
    <w:basedOn w:val="a"/>
    <w:next w:val="a"/>
    <w:rsid w:val="004A0CD5"/>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Title1">
    <w:name w:val="Title1"/>
    <w:basedOn w:val="a"/>
    <w:next w:val="a"/>
    <w:rsid w:val="002C16AE"/>
    <w:pPr>
      <w:keepNext/>
      <w:keepLines/>
      <w:pageBreakBefore/>
      <w:pBdr>
        <w:bottom w:val="single" w:sz="4" w:space="1" w:color="auto"/>
      </w:pBdr>
      <w:tabs>
        <w:tab w:val="left" w:pos="284"/>
      </w:tabs>
      <w:suppressAutoHyphens/>
      <w:spacing w:after="300" w:line="300" w:lineRule="atLeast"/>
      <w:ind w:firstLine="0"/>
      <w:jc w:val="left"/>
    </w:pPr>
    <w:rPr>
      <w:b/>
      <w:color w:val="548DD4"/>
      <w:sz w:val="52"/>
    </w:rPr>
  </w:style>
  <w:style w:type="paragraph" w:styleId="10">
    <w:name w:val="index 1"/>
    <w:basedOn w:val="a"/>
    <w:uiPriority w:val="99"/>
    <w:semiHidden/>
    <w:rsid w:val="00A03A43"/>
    <w:pPr>
      <w:ind w:left="200" w:hanging="200"/>
      <w:jc w:val="left"/>
    </w:pPr>
    <w:rPr>
      <w:rFonts w:asciiTheme="minorHAnsi" w:hAnsiTheme="minorHAnsi" w:cstheme="minorHAnsi"/>
      <w:sz w:val="18"/>
      <w:szCs w:val="18"/>
    </w:rPr>
  </w:style>
  <w:style w:type="paragraph" w:styleId="20">
    <w:name w:val="index 2"/>
    <w:basedOn w:val="10"/>
    <w:uiPriority w:val="99"/>
    <w:semiHidden/>
    <w:rsid w:val="009960F7"/>
    <w:pPr>
      <w:ind w:left="400"/>
    </w:pPr>
  </w:style>
  <w:style w:type="paragraph" w:styleId="30">
    <w:name w:val="index 3"/>
    <w:basedOn w:val="a"/>
    <w:next w:val="a"/>
    <w:semiHidden/>
    <w:pPr>
      <w:ind w:left="600" w:hanging="200"/>
      <w:jc w:val="left"/>
    </w:pPr>
    <w:rPr>
      <w:rFonts w:asciiTheme="minorHAnsi" w:hAnsiTheme="minorHAnsi" w:cstheme="minorHAnsi"/>
      <w:sz w:val="18"/>
      <w:szCs w:val="18"/>
    </w:rPr>
  </w:style>
  <w:style w:type="paragraph" w:styleId="a5">
    <w:name w:val="footnote text"/>
    <w:basedOn w:val="a"/>
    <w:semiHidden/>
  </w:style>
  <w:style w:type="paragraph" w:styleId="4">
    <w:name w:val="toc 4"/>
    <w:basedOn w:val="a"/>
    <w:next w:val="a"/>
    <w:semiHidden/>
    <w:rsid w:val="00F9665F"/>
    <w:pPr>
      <w:ind w:left="737"/>
    </w:pPr>
  </w:style>
  <w:style w:type="character" w:styleId="a6">
    <w:name w:val="Hyperlink"/>
    <w:rPr>
      <w:color w:val="0000FF"/>
      <w:u w:val="single"/>
    </w:rPr>
  </w:style>
  <w:style w:type="paragraph" w:customStyle="1" w:styleId="heading4">
    <w:name w:val="heading4"/>
    <w:basedOn w:val="a"/>
    <w:next w:val="noindentpara"/>
    <w:rsid w:val="00F9665F"/>
    <w:pPr>
      <w:keepNext/>
      <w:suppressAutoHyphens/>
      <w:spacing w:before="480" w:after="240"/>
      <w:ind w:firstLine="0"/>
      <w:jc w:val="left"/>
      <w:outlineLvl w:val="3"/>
    </w:pPr>
  </w:style>
  <w:style w:type="paragraph" w:customStyle="1" w:styleId="heading5">
    <w:name w:val="heading5"/>
    <w:basedOn w:val="heading4"/>
    <w:next w:val="noindentpara"/>
    <w:rsid w:val="00F9665F"/>
    <w:pPr>
      <w:spacing w:before="360" w:after="120"/>
      <w:outlineLvl w:val="4"/>
    </w:pPr>
    <w:rPr>
      <w:i/>
    </w:rPr>
  </w:style>
  <w:style w:type="paragraph" w:customStyle="1" w:styleId="MainSubtitle">
    <w:name w:val="Main_Subtitle"/>
    <w:basedOn w:val="a"/>
    <w:next w:val="a"/>
    <w:rsid w:val="00583E41"/>
    <w:pPr>
      <w:tabs>
        <w:tab w:val="left" w:pos="567"/>
      </w:tabs>
      <w:spacing w:before="320" w:line="320" w:lineRule="atLeast"/>
    </w:pPr>
    <w:rPr>
      <w:rFonts w:cs="Arial"/>
      <w:sz w:val="28"/>
    </w:rPr>
  </w:style>
  <w:style w:type="paragraph" w:customStyle="1" w:styleId="RuninHead1">
    <w:name w:val="RuninHead1"/>
    <w:basedOn w:val="a"/>
    <w:next w:val="noindentpara"/>
    <w:link w:val="RuninHead1Char"/>
    <w:rsid w:val="002539B7"/>
    <w:pPr>
      <w:spacing w:line="240" w:lineRule="auto"/>
      <w:ind w:firstLine="0"/>
      <w:jc w:val="left"/>
    </w:pPr>
    <w:rPr>
      <w:b/>
    </w:rPr>
  </w:style>
  <w:style w:type="paragraph" w:customStyle="1" w:styleId="RuninHead2">
    <w:name w:val="RuninHead2"/>
    <w:basedOn w:val="a"/>
    <w:next w:val="a"/>
    <w:link w:val="RuninHead2Char"/>
    <w:rsid w:val="002539B7"/>
    <w:pPr>
      <w:spacing w:line="240" w:lineRule="auto"/>
      <w:ind w:firstLine="0"/>
      <w:jc w:val="left"/>
    </w:pPr>
    <w:rPr>
      <w:b/>
      <w:i/>
    </w:rPr>
  </w:style>
  <w:style w:type="paragraph" w:customStyle="1" w:styleId="affiliation">
    <w:name w:val="affiliation"/>
    <w:basedOn w:val="a"/>
    <w:next w:val="a"/>
    <w:rsid w:val="0081006B"/>
    <w:pPr>
      <w:suppressAutoHyphens/>
      <w:spacing w:before="240" w:line="200" w:lineRule="atLeast"/>
      <w:ind w:left="238" w:firstLine="0"/>
      <w:contextualSpacing/>
      <w:jc w:val="left"/>
    </w:pPr>
    <w:rPr>
      <w:sz w:val="17"/>
    </w:rPr>
  </w:style>
  <w:style w:type="paragraph" w:customStyle="1" w:styleId="abstract">
    <w:name w:val="abstract"/>
    <w:basedOn w:val="a"/>
    <w:next w:val="a"/>
    <w:rsid w:val="00A03A43"/>
    <w:pPr>
      <w:spacing w:before="480" w:after="480"/>
      <w:ind w:firstLine="0"/>
    </w:pPr>
  </w:style>
  <w:style w:type="paragraph" w:customStyle="1" w:styleId="quotation">
    <w:name w:val="quotation"/>
    <w:basedOn w:val="affiliation"/>
    <w:next w:val="a"/>
    <w:rsid w:val="0081006B"/>
    <w:pPr>
      <w:spacing w:after="240"/>
      <w:ind w:right="238"/>
      <w:jc w:val="both"/>
    </w:pPr>
  </w:style>
  <w:style w:type="paragraph" w:customStyle="1" w:styleId="acknowledgements">
    <w:name w:val="acknowledgements"/>
    <w:basedOn w:val="heading1"/>
    <w:next w:val="a"/>
    <w:rsid w:val="0081006B"/>
  </w:style>
  <w:style w:type="paragraph" w:customStyle="1" w:styleId="references">
    <w:name w:val="references"/>
    <w:basedOn w:val="heading1"/>
    <w:rsid w:val="005308AA"/>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B834DE"/>
    <w:pPr>
      <w:ind w:firstLine="142"/>
    </w:pPr>
    <w:rPr>
      <w:rFonts w:ascii="Times" w:hAnsi="Times"/>
      <w:lang w:val="en-US" w:eastAsia="de-DE"/>
    </w:rPr>
  </w:style>
  <w:style w:type="paragraph" w:customStyle="1" w:styleId="formalpara">
    <w:name w:val="formalpara"/>
    <w:basedOn w:val="a"/>
    <w:next w:val="a"/>
    <w:rsid w:val="00A03A43"/>
    <w:pPr>
      <w:spacing w:before="480" w:after="240"/>
      <w:ind w:firstLine="0"/>
    </w:pPr>
  </w:style>
  <w:style w:type="paragraph" w:customStyle="1" w:styleId="keyword">
    <w:name w:val="keyword"/>
    <w:basedOn w:val="abstract"/>
    <w:rsid w:val="004A0CD5"/>
  </w:style>
  <w:style w:type="paragraph" w:customStyle="1" w:styleId="appendix">
    <w:name w:val="appendix"/>
    <w:basedOn w:val="heading1"/>
    <w:next w:val="a"/>
    <w:qFormat/>
    <w:rsid w:val="005308AA"/>
    <w:rPr>
      <w:lang w:val="en-IN"/>
    </w:rPr>
  </w:style>
  <w:style w:type="paragraph" w:customStyle="1" w:styleId="List1">
    <w:name w:val="List1"/>
    <w:basedOn w:val="para"/>
    <w:next w:val="a"/>
    <w:rsid w:val="00E6578B"/>
    <w:pPr>
      <w:spacing w:before="480" w:after="480" w:line="240" w:lineRule="atLeast"/>
      <w:ind w:firstLine="0"/>
      <w:contextualSpacing/>
    </w:pPr>
    <w:rPr>
      <w:lang w:val="en-IN"/>
    </w:rPr>
  </w:style>
  <w:style w:type="paragraph" w:customStyle="1" w:styleId="figure">
    <w:name w:val="figure"/>
    <w:basedOn w:val="table"/>
    <w:next w:val="a"/>
    <w:rsid w:val="002C16AE"/>
    <w:rPr>
      <w:lang w:val="en-IN"/>
    </w:rPr>
  </w:style>
  <w:style w:type="numbering" w:customStyle="1" w:styleId="Olist">
    <w:name w:val="Olist"/>
    <w:basedOn w:val="a2"/>
    <w:rsid w:val="00995BA3"/>
    <w:pPr>
      <w:numPr>
        <w:numId w:val="26"/>
      </w:numPr>
    </w:pPr>
  </w:style>
  <w:style w:type="numbering" w:customStyle="1" w:styleId="UList">
    <w:name w:val="UList"/>
    <w:basedOn w:val="a2"/>
    <w:rsid w:val="00995BA3"/>
    <w:pPr>
      <w:numPr>
        <w:numId w:val="28"/>
      </w:numPr>
    </w:pPr>
  </w:style>
  <w:style w:type="numbering" w:customStyle="1" w:styleId="Ulistt">
    <w:name w:val="Ulistt"/>
    <w:basedOn w:val="a2"/>
    <w:rsid w:val="00995BA3"/>
    <w:pPr>
      <w:numPr>
        <w:numId w:val="30"/>
      </w:numPr>
    </w:pPr>
  </w:style>
  <w:style w:type="paragraph" w:customStyle="1" w:styleId="continuoustext">
    <w:name w:val="continuoustext"/>
    <w:basedOn w:val="para"/>
    <w:next w:val="a"/>
    <w:rsid w:val="00C754E3"/>
    <w:pPr>
      <w:ind w:firstLine="0"/>
    </w:pPr>
  </w:style>
  <w:style w:type="paragraph" w:customStyle="1" w:styleId="computercode">
    <w:name w:val="computercode"/>
    <w:basedOn w:val="para"/>
    <w:next w:val="a"/>
    <w:rsid w:val="00DF0687"/>
    <w:pPr>
      <w:ind w:firstLine="0"/>
    </w:pPr>
    <w:rPr>
      <w:rFonts w:ascii="Courier New" w:hAnsi="Courier New"/>
    </w:rPr>
  </w:style>
  <w:style w:type="paragraph" w:customStyle="1" w:styleId="MainTitle">
    <w:name w:val="Main_Title"/>
    <w:basedOn w:val="a"/>
    <w:next w:val="a"/>
    <w:rsid w:val="00757585"/>
    <w:pPr>
      <w:keepNext/>
      <w:pageBreakBefore/>
      <w:suppressAutoHyphens/>
      <w:spacing w:before="360" w:after="480" w:line="360" w:lineRule="auto"/>
      <w:ind w:firstLine="0"/>
    </w:pPr>
    <w:rPr>
      <w:b/>
      <w:sz w:val="32"/>
    </w:rPr>
  </w:style>
  <w:style w:type="paragraph" w:styleId="a7">
    <w:name w:val="Subtitle"/>
    <w:basedOn w:val="a"/>
    <w:next w:val="a"/>
    <w:link w:val="a8"/>
    <w:rsid w:val="00A64714"/>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a8">
    <w:name w:val="Подзаголовок Знак"/>
    <w:basedOn w:val="a0"/>
    <w:link w:val="a7"/>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a9">
    <w:name w:val="index heading"/>
    <w:basedOn w:val="a"/>
    <w:next w:val="10"/>
    <w:uiPriority w:val="99"/>
    <w:unhideWhenUsed/>
    <w:rsid w:val="00A84354"/>
    <w:pPr>
      <w:pBdr>
        <w:top w:val="single" w:sz="12" w:space="0" w:color="auto"/>
      </w:pBdr>
      <w:spacing w:before="360" w:after="240"/>
      <w:jc w:val="left"/>
    </w:pPr>
    <w:rPr>
      <w:rFonts w:asciiTheme="minorHAnsi" w:hAnsiTheme="minorHAnsi" w:cstheme="minorHAnsi"/>
      <w:b/>
      <w:bCs/>
      <w:i/>
      <w:iCs/>
      <w:sz w:val="26"/>
      <w:szCs w:val="26"/>
    </w:rPr>
  </w:style>
  <w:style w:type="paragraph" w:styleId="5">
    <w:name w:val="toc 5"/>
    <w:basedOn w:val="a"/>
    <w:next w:val="a"/>
    <w:autoRedefine/>
    <w:semiHidden/>
    <w:unhideWhenUsed/>
    <w:rsid w:val="00AD21BF"/>
    <w:pPr>
      <w:spacing w:after="100"/>
      <w:ind w:left="800"/>
    </w:pPr>
  </w:style>
  <w:style w:type="paragraph" w:styleId="6">
    <w:name w:val="toc 6"/>
    <w:basedOn w:val="a"/>
    <w:next w:val="a"/>
    <w:autoRedefine/>
    <w:semiHidden/>
    <w:unhideWhenUsed/>
    <w:rsid w:val="00AD21BF"/>
    <w:pPr>
      <w:spacing w:after="100"/>
      <w:ind w:left="1000"/>
    </w:pPr>
  </w:style>
  <w:style w:type="paragraph" w:styleId="7">
    <w:name w:val="toc 7"/>
    <w:basedOn w:val="a"/>
    <w:next w:val="a"/>
    <w:autoRedefine/>
    <w:semiHidden/>
    <w:unhideWhenUsed/>
    <w:rsid w:val="00AD21BF"/>
    <w:pPr>
      <w:spacing w:after="100"/>
      <w:ind w:left="1200"/>
    </w:pPr>
  </w:style>
  <w:style w:type="paragraph" w:styleId="8">
    <w:name w:val="toc 8"/>
    <w:basedOn w:val="a"/>
    <w:next w:val="a"/>
    <w:autoRedefine/>
    <w:semiHidden/>
    <w:unhideWhenUsed/>
    <w:rsid w:val="00AD21BF"/>
    <w:pPr>
      <w:spacing w:after="100"/>
      <w:ind w:left="1400"/>
    </w:pPr>
  </w:style>
  <w:style w:type="paragraph" w:styleId="9">
    <w:name w:val="toc 9"/>
    <w:basedOn w:val="a"/>
    <w:next w:val="a"/>
    <w:autoRedefine/>
    <w:semiHidden/>
    <w:unhideWhenUsed/>
    <w:rsid w:val="00AD21BF"/>
    <w:pPr>
      <w:spacing w:after="100"/>
      <w:ind w:left="1600"/>
    </w:pPr>
  </w:style>
  <w:style w:type="table" w:styleId="aa">
    <w:name w:val="Table Grid"/>
    <w:basedOn w:val="a1"/>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a"/>
    <w:rsid w:val="00C6212D"/>
    <w:pPr>
      <w:jc w:val="right"/>
    </w:pPr>
  </w:style>
  <w:style w:type="paragraph" w:styleId="ab">
    <w:name w:val="TOC Heading"/>
    <w:basedOn w:val="1"/>
    <w:next w:val="a"/>
    <w:uiPriority w:val="39"/>
    <w:unhideWhenUsed/>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a"/>
    <w:rsid w:val="0054444A"/>
  </w:style>
  <w:style w:type="paragraph" w:customStyle="1" w:styleId="warning">
    <w:name w:val="warning"/>
    <w:basedOn w:val="definition"/>
    <w:next w:val="a"/>
    <w:rsid w:val="0054444A"/>
  </w:style>
  <w:style w:type="paragraph" w:customStyle="1" w:styleId="overview">
    <w:name w:val="overview"/>
    <w:basedOn w:val="warning"/>
    <w:next w:val="a"/>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a"/>
    <w:rsid w:val="0054444A"/>
  </w:style>
  <w:style w:type="paragraph" w:customStyle="1" w:styleId="RuninHead3">
    <w:name w:val="RuninHead3"/>
    <w:basedOn w:val="a"/>
    <w:next w:val="noindentpara"/>
    <w:link w:val="RuninHead3Char"/>
    <w:rsid w:val="0023519A"/>
    <w:rPr>
      <w:b/>
    </w:rPr>
  </w:style>
  <w:style w:type="paragraph" w:styleId="ac">
    <w:name w:val="List Paragraph"/>
    <w:basedOn w:val="a"/>
    <w:link w:val="ad"/>
    <w:uiPriority w:val="34"/>
    <w:rsid w:val="002023E1"/>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ad">
    <w:name w:val="Абзац списка Знак"/>
    <w:link w:val="ac"/>
    <w:uiPriority w:val="34"/>
    <w:locked/>
    <w:rsid w:val="002023E1"/>
    <w:rPr>
      <w:rFonts w:ascii="Calibri" w:eastAsia="Calibri" w:hAnsi="Calibri"/>
      <w:szCs w:val="22"/>
      <w:lang w:val="en-US" w:eastAsia="en-US"/>
    </w:rPr>
  </w:style>
  <w:style w:type="paragraph" w:styleId="ae">
    <w:name w:val="Title"/>
    <w:basedOn w:val="a"/>
    <w:next w:val="a"/>
    <w:link w:val="af"/>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a"/>
    <w:rsid w:val="00E15E88"/>
  </w:style>
  <w:style w:type="paragraph" w:customStyle="1" w:styleId="importantold">
    <w:name w:val="important_old"/>
    <w:basedOn w:val="overview"/>
    <w:next w:val="a"/>
    <w:rsid w:val="00D80985"/>
  </w:style>
  <w:style w:type="paragraph" w:styleId="11">
    <w:name w:val="toc 1"/>
    <w:basedOn w:val="a"/>
    <w:next w:val="a"/>
    <w:autoRedefine/>
    <w:uiPriority w:val="39"/>
    <w:semiHidden/>
    <w:unhideWhenUsed/>
    <w:rsid w:val="00D07E97"/>
    <w:pPr>
      <w:spacing w:after="100"/>
    </w:pPr>
  </w:style>
  <w:style w:type="paragraph" w:styleId="21">
    <w:name w:val="toc 2"/>
    <w:basedOn w:val="a"/>
    <w:next w:val="a"/>
    <w:autoRedefine/>
    <w:uiPriority w:val="39"/>
    <w:semiHidden/>
    <w:unhideWhenUsed/>
    <w:rsid w:val="00D07E97"/>
    <w:pPr>
      <w:spacing w:after="100"/>
      <w:ind w:left="200"/>
    </w:pPr>
  </w:style>
  <w:style w:type="paragraph" w:styleId="31">
    <w:name w:val="toc 3"/>
    <w:basedOn w:val="a"/>
    <w:next w:val="a"/>
    <w:autoRedefine/>
    <w:uiPriority w:val="39"/>
    <w:semiHidden/>
    <w:unhideWhenUsed/>
    <w:rsid w:val="00D07E97"/>
    <w:pPr>
      <w:spacing w:after="100"/>
      <w:ind w:left="400"/>
    </w:pPr>
  </w:style>
  <w:style w:type="character" w:customStyle="1" w:styleId="RuninHead1Char">
    <w:name w:val="RuninHead1 Char"/>
    <w:basedOn w:val="a0"/>
    <w:link w:val="RuninHead1"/>
    <w:rsid w:val="002539B7"/>
    <w:rPr>
      <w:rFonts w:ascii="Times" w:hAnsi="Times"/>
      <w:b/>
      <w:lang w:val="en-US" w:eastAsia="de-DE"/>
    </w:rPr>
  </w:style>
  <w:style w:type="character" w:customStyle="1" w:styleId="RuninHead2Char">
    <w:name w:val="RuninHead2 Char"/>
    <w:basedOn w:val="a0"/>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paragraph" w:customStyle="1" w:styleId="p1a">
    <w:name w:val="p1a"/>
    <w:basedOn w:val="a"/>
    <w:next w:val="a"/>
    <w:rsid w:val="005B18F6"/>
    <w:pPr>
      <w:ind w:firstLine="0"/>
    </w:pPr>
  </w:style>
  <w:style w:type="paragraph" w:customStyle="1" w:styleId="BulletItem0">
    <w:name w:val="Bullet Item"/>
    <w:basedOn w:val="a"/>
    <w:rsid w:val="005B18F6"/>
    <w:pPr>
      <w:tabs>
        <w:tab w:val="num" w:pos="238"/>
      </w:tabs>
      <w:spacing w:before="120" w:after="120"/>
      <w:ind w:left="238" w:hanging="238"/>
      <w:contextualSpacing/>
    </w:pPr>
  </w:style>
  <w:style w:type="paragraph" w:customStyle="1" w:styleId="12">
    <w:name w:val="Заголовок1"/>
    <w:basedOn w:val="a"/>
    <w:next w:val="p1a"/>
    <w:rsid w:val="005B18F6"/>
    <w:pPr>
      <w:keepNext/>
      <w:keepLines/>
      <w:pageBreakBefore/>
      <w:tabs>
        <w:tab w:val="left" w:pos="284"/>
      </w:tabs>
      <w:suppressAutoHyphens/>
      <w:spacing w:line="360" w:lineRule="atLeast"/>
      <w:ind w:firstLine="0"/>
      <w:jc w:val="left"/>
    </w:pPr>
    <w:rPr>
      <w:b/>
      <w:sz w:val="32"/>
    </w:rPr>
  </w:style>
  <w:style w:type="paragraph" w:styleId="af0">
    <w:name w:val="footer"/>
    <w:basedOn w:val="a"/>
    <w:link w:val="af1"/>
    <w:unhideWhenUsed/>
    <w:rsid w:val="00AB1002"/>
    <w:pPr>
      <w:tabs>
        <w:tab w:val="center" w:pos="4677"/>
        <w:tab w:val="right" w:pos="9355"/>
      </w:tabs>
      <w:spacing w:line="240" w:lineRule="auto"/>
    </w:pPr>
  </w:style>
  <w:style w:type="character" w:customStyle="1" w:styleId="af1">
    <w:name w:val="Нижний колонтитул Знак"/>
    <w:basedOn w:val="a0"/>
    <w:link w:val="af0"/>
    <w:rsid w:val="00AB1002"/>
    <w:rPr>
      <w:rFonts w:ascii="Times" w:hAnsi="Times"/>
      <w:lang w:val="en-US" w:eastAsia="de-DE"/>
    </w:rPr>
  </w:style>
  <w:style w:type="paragraph" w:styleId="af2">
    <w:name w:val="header"/>
    <w:basedOn w:val="a"/>
    <w:link w:val="af3"/>
    <w:unhideWhenUsed/>
    <w:rsid w:val="00AB1002"/>
    <w:pPr>
      <w:tabs>
        <w:tab w:val="center" w:pos="4677"/>
        <w:tab w:val="right" w:pos="9355"/>
      </w:tabs>
      <w:spacing w:line="240" w:lineRule="auto"/>
    </w:pPr>
  </w:style>
  <w:style w:type="character" w:customStyle="1" w:styleId="af3">
    <w:name w:val="Верхний колонтитул Знак"/>
    <w:basedOn w:val="a0"/>
    <w:link w:val="af2"/>
    <w:rsid w:val="00AB1002"/>
    <w:rPr>
      <w:rFonts w:ascii="Times" w:hAnsi="Times"/>
      <w:lang w:val="en-US" w:eastAsia="de-DE"/>
    </w:rPr>
  </w:style>
  <w:style w:type="character" w:styleId="af4">
    <w:name w:val="Unresolved Mention"/>
    <w:basedOn w:val="a0"/>
    <w:uiPriority w:val="99"/>
    <w:semiHidden/>
    <w:unhideWhenUsed/>
    <w:rsid w:val="00801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60290124">
      <w:bodyDiv w:val="1"/>
      <w:marLeft w:val="0"/>
      <w:marRight w:val="0"/>
      <w:marTop w:val="0"/>
      <w:marBottom w:val="0"/>
      <w:divBdr>
        <w:top w:val="none" w:sz="0" w:space="0" w:color="auto"/>
        <w:left w:val="none" w:sz="0" w:space="0" w:color="auto"/>
        <w:bottom w:val="none" w:sz="0" w:space="0" w:color="auto"/>
        <w:right w:val="none" w:sz="0" w:space="0" w:color="auto"/>
      </w:divBdr>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86/w7552" TargetMode="External"/><Relationship Id="rId13" Type="http://schemas.openxmlformats.org/officeDocument/2006/relationships/hyperlink" Target="mailto:name@www.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0-0000-0000-000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me@www.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orcid.org/0000-0000-0000-000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name@www.com" TargetMode="External"/><Relationship Id="rId14" Type="http://schemas.openxmlformats.org/officeDocument/2006/relationships/hyperlink" Target="https://orcid.org/0000-0000-0000-000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orcid.org/0000-0001-8091-6753" TargetMode="External"/><Relationship Id="rId2" Type="http://schemas.openxmlformats.org/officeDocument/2006/relationships/hyperlink" Target="http://orcid.org/0000-0001-8091-6753" TargetMode="External"/><Relationship Id="rId1" Type="http://schemas.openxmlformats.org/officeDocument/2006/relationships/hyperlink" Target="http://orcid.org/0000-0001-8212-341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7E3~1\AppData\Local\Temp\Rar$DIa6216.20100\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RibbonX Visual Designer 1.94 for Microsoft Word 12.0. XML Code produced on 2014-09-05-->
<customUI xmlns="http://schemas.microsoft.com/office/2006/01/customui">
  <ribbon startFromScratch="false">
    <tabs>
      <!--Menu starts from here-->
      <tab id="tabWordTool" keytip="D" label="&amp;STYLING">
        <group id="group_STYLING" label="(AUTO | MANUAL) STYLING">
          <box boxStyle="horizontal" id="MyBox01">
            <button id="btn_AutoStyle" imageMso="AutoFormat" label="&amp;Auto Styling" screentip="Auto Styling Document..." onAction="STYLE.Auto" size="large"/>
            <button id="btn_ManualStyle" imageMso="GroupAdminister" label="&amp;Manual Styling" screentip="Manual Styling Document..." onAction="STYLE.Manual" size="large"/>
            <button id="btn_LastView" imageMso="MailMergeGotToLastRecord" label="&amp;Recent Style View" screentip="Update Last Tag..." onAction="STYLE.LastView" size="large"/>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DC103-A6E7-4D8D-A47B-62C35B8F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25</TotalTime>
  <Pages>1</Pages>
  <Words>1292</Words>
  <Characters>7365</Characters>
  <Application>Microsoft Office Word</Application>
  <DocSecurity>0</DocSecurity>
  <Lines>61</Lines>
  <Paragraphs>17</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Евгений</dc:creator>
  <cp:lastModifiedBy>Евгений</cp:lastModifiedBy>
  <cp:revision>5</cp:revision>
  <dcterms:created xsi:type="dcterms:W3CDTF">2022-03-14T19:02:00Z</dcterms:created>
  <dcterms:modified xsi:type="dcterms:W3CDTF">2024-03-01T13:18:00Z</dcterms:modified>
</cp:coreProperties>
</file>